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445" w:rsidRPr="00FB7445" w:rsidRDefault="00FB7445" w:rsidP="00FB7445">
      <w:pPr>
        <w:pStyle w:val="Reporttitle"/>
        <w:rPr>
          <w:sz w:val="44"/>
        </w:rPr>
      </w:pPr>
    </w:p>
    <w:p w:rsidR="00187DA1" w:rsidRDefault="00187DA1" w:rsidP="00FB7445">
      <w:pPr>
        <w:pStyle w:val="Reporttitle"/>
      </w:pPr>
    </w:p>
    <w:p w:rsidR="0023351D" w:rsidRPr="00282497" w:rsidRDefault="00284195" w:rsidP="00FB7445">
      <w:pPr>
        <w:pStyle w:val="Reporttitle"/>
      </w:pPr>
      <w:r>
        <w:t xml:space="preserve">JOURNALISM, MEDIA &amp; COMMUNICATION NETWORK </w:t>
      </w:r>
    </w:p>
    <w:p w:rsidR="0023351D" w:rsidRDefault="0023351D" w:rsidP="0023351D">
      <w:pPr>
        <w:spacing w:line="320" w:lineRule="exact"/>
        <w:ind w:left="-3402"/>
        <w:jc w:val="right"/>
        <w:rPr>
          <w:rFonts w:cs="Arial"/>
          <w:b/>
          <w:bCs/>
        </w:rPr>
      </w:pPr>
    </w:p>
    <w:p w:rsidR="00FB7445" w:rsidRDefault="00FB7445" w:rsidP="0023351D">
      <w:pPr>
        <w:spacing w:line="320" w:lineRule="exact"/>
        <w:ind w:left="-3402"/>
        <w:jc w:val="right"/>
        <w:rPr>
          <w:rFonts w:cs="Arial"/>
          <w:b/>
          <w:bCs/>
        </w:rPr>
      </w:pPr>
    </w:p>
    <w:p w:rsidR="00FB7445" w:rsidRDefault="00FB7445" w:rsidP="0023351D">
      <w:pPr>
        <w:spacing w:line="320" w:lineRule="exact"/>
        <w:ind w:left="-3402"/>
        <w:jc w:val="right"/>
        <w:rPr>
          <w:rFonts w:cs="Arial"/>
          <w:b/>
          <w:bCs/>
        </w:rPr>
      </w:pPr>
    </w:p>
    <w:p w:rsidR="00FB7445" w:rsidRDefault="00187DA1" w:rsidP="00187DA1">
      <w:pPr>
        <w:tabs>
          <w:tab w:val="left" w:pos="2282"/>
        </w:tabs>
        <w:spacing w:line="320" w:lineRule="exact"/>
        <w:ind w:left="-3402"/>
        <w:rPr>
          <w:rFonts w:cs="Arial"/>
          <w:b/>
          <w:bCs/>
        </w:rPr>
      </w:pPr>
      <w:r>
        <w:rPr>
          <w:rFonts w:cs="Arial"/>
          <w:b/>
          <w:bCs/>
        </w:rPr>
        <w:tab/>
      </w:r>
    </w:p>
    <w:p w:rsidR="00FB7445" w:rsidRDefault="00FB7445" w:rsidP="0023351D">
      <w:pPr>
        <w:spacing w:line="320" w:lineRule="exact"/>
        <w:ind w:left="-3402"/>
        <w:jc w:val="right"/>
        <w:rPr>
          <w:rFonts w:cs="Arial"/>
          <w:b/>
          <w:bCs/>
        </w:rPr>
      </w:pPr>
    </w:p>
    <w:p w:rsidR="0023351D" w:rsidRDefault="0023351D" w:rsidP="0084756F">
      <w:pPr>
        <w:pStyle w:val="Subtitle"/>
        <w:tabs>
          <w:tab w:val="left" w:pos="5874"/>
        </w:tabs>
      </w:pPr>
      <w:r>
        <w:t xml:space="preserve">Final Report </w:t>
      </w:r>
      <w:r w:rsidR="00045047">
        <w:t>2015</w:t>
      </w:r>
      <w:r w:rsidR="0084756F">
        <w:tab/>
      </w:r>
    </w:p>
    <w:p w:rsidR="00275E58" w:rsidRDefault="00275E58" w:rsidP="00A121CE">
      <w:pPr>
        <w:pStyle w:val="Subtitle"/>
      </w:pPr>
      <w:r>
        <w:t>Journalism</w:t>
      </w:r>
      <w:r w:rsidR="00284195">
        <w:t xml:space="preserve"> E</w:t>
      </w:r>
      <w:r>
        <w:t>ducation</w:t>
      </w:r>
      <w:r w:rsidR="00284195">
        <w:t xml:space="preserve"> </w:t>
      </w:r>
      <w:r w:rsidR="002C3059">
        <w:t>&amp;</w:t>
      </w:r>
      <w:r w:rsidR="00D519B2">
        <w:t xml:space="preserve"> R</w:t>
      </w:r>
      <w:r>
        <w:t xml:space="preserve">esearch Association of </w:t>
      </w:r>
      <w:r w:rsidR="00284195">
        <w:t>A</w:t>
      </w:r>
      <w:r>
        <w:t>ustralia</w:t>
      </w:r>
    </w:p>
    <w:p w:rsidR="00A121CE" w:rsidRPr="00681DE8" w:rsidRDefault="008C36DC" w:rsidP="00A121CE">
      <w:pPr>
        <w:pStyle w:val="Subtitle"/>
      </w:pPr>
      <w:r>
        <w:t>With the University of Queensland,</w:t>
      </w:r>
      <w:r w:rsidR="00284195">
        <w:t xml:space="preserve"> Q</w:t>
      </w:r>
      <w:r>
        <w:t xml:space="preserve">ueensland </w:t>
      </w:r>
      <w:r w:rsidR="00284195">
        <w:t>U</w:t>
      </w:r>
      <w:r>
        <w:t xml:space="preserve">niversity of </w:t>
      </w:r>
      <w:r w:rsidR="00284195">
        <w:t>T</w:t>
      </w:r>
      <w:r>
        <w:t>echnology and</w:t>
      </w:r>
      <w:r w:rsidR="00284195">
        <w:t xml:space="preserve"> University of Sydney </w:t>
      </w:r>
    </w:p>
    <w:p w:rsidR="00100305" w:rsidRDefault="00284195" w:rsidP="00CA0CA7">
      <w:pPr>
        <w:pStyle w:val="Subtitle"/>
      </w:pPr>
      <w:r>
        <w:t xml:space="preserve">Rhonda Breit, Angela Romano, Penny </w:t>
      </w:r>
      <w:r w:rsidR="00CA0CA7">
        <w:t>O’Donnell and</w:t>
      </w:r>
      <w:r>
        <w:t xml:space="preserve"> Trina McLellan</w:t>
      </w:r>
      <w:r w:rsidR="00A32FBD">
        <w:t xml:space="preserve"> </w:t>
      </w:r>
    </w:p>
    <w:p w:rsidR="0023351D" w:rsidRDefault="0023351D" w:rsidP="00292666"/>
    <w:p w:rsidR="00B12AB3" w:rsidRDefault="00B12AB3" w:rsidP="00292666"/>
    <w:p w:rsidR="00B12AB3" w:rsidRDefault="00B12AB3" w:rsidP="00292666"/>
    <w:p w:rsidR="00B12AB3" w:rsidRDefault="00B12AB3" w:rsidP="00292666"/>
    <w:p w:rsidR="00B12AB3" w:rsidRDefault="00B12AB3" w:rsidP="00292666"/>
    <w:p w:rsidR="00B12AB3" w:rsidRDefault="00B12AB3" w:rsidP="00292666"/>
    <w:p w:rsidR="00F14F3B" w:rsidRDefault="00B57229" w:rsidP="00187DA1">
      <w:pPr>
        <w:pStyle w:val="Subtitle"/>
        <w:sectPr w:rsidR="00F14F3B" w:rsidSect="00FB7445">
          <w:headerReference w:type="first" r:id="rId9"/>
          <w:footerReference w:type="first" r:id="rId10"/>
          <w:pgSz w:w="11907" w:h="16840" w:code="9"/>
          <w:pgMar w:top="2977" w:right="1440" w:bottom="1440" w:left="1440" w:header="720" w:footer="595" w:gutter="0"/>
          <w:pgNumType w:start="0"/>
          <w:cols w:space="720"/>
          <w:titlePg/>
          <w:docGrid w:linePitch="360"/>
        </w:sectPr>
      </w:pPr>
      <w:r>
        <w:t>&lt;</w:t>
      </w:r>
      <w:r w:rsidRPr="00B57229">
        <w:t>www.je</w:t>
      </w:r>
      <w:r w:rsidR="008C36DC">
        <w:t>r</w:t>
      </w:r>
      <w:r w:rsidR="003301B3">
        <w:t>aa.org.au/research/218</w:t>
      </w:r>
      <w:r>
        <w:t>&gt;</w:t>
      </w:r>
      <w:bookmarkStart w:id="0" w:name="_Toc315255742"/>
      <w:bookmarkStart w:id="1" w:name="_Toc315258624"/>
    </w:p>
    <w:p w:rsidR="00F14F3B" w:rsidRPr="00CD3D51" w:rsidRDefault="00F14F3B" w:rsidP="00F14F3B">
      <w:pPr>
        <w:widowControl/>
        <w:suppressAutoHyphens w:val="0"/>
      </w:pPr>
      <w:r w:rsidRPr="00CD3D51">
        <w:lastRenderedPageBreak/>
        <w:t>Support for the production of this report has been provided by the Australian Government Office for Learning and Teaching. The views expressed in this report do not necessarily reflect the vie</w:t>
      </w:r>
      <w:r>
        <w:t>ws of the Australian Government</w:t>
      </w:r>
      <w:r w:rsidRPr="00CD3D51">
        <w:t xml:space="preserve"> Office for Learning and Teaching.</w:t>
      </w:r>
    </w:p>
    <w:p w:rsidR="00F14F3B" w:rsidRDefault="00F14F3B" w:rsidP="00F14F3B">
      <w:pPr>
        <w:pStyle w:val="Heading1"/>
        <w:tabs>
          <w:tab w:val="left" w:pos="1065"/>
        </w:tabs>
        <w:spacing w:line="240" w:lineRule="auto"/>
        <w:rPr>
          <w:sz w:val="20"/>
          <w:szCs w:val="20"/>
        </w:rPr>
      </w:pPr>
    </w:p>
    <w:p w:rsidR="00F14F3B" w:rsidRPr="00F14F3B" w:rsidRDefault="00F14F3B" w:rsidP="00F14F3B"/>
    <w:p w:rsidR="00F14F3B" w:rsidRDefault="00F14F3B" w:rsidP="00F14F3B"/>
    <w:p w:rsidR="00F14F3B" w:rsidRDefault="00F14F3B" w:rsidP="00F14F3B"/>
    <w:p w:rsidR="00F14F3B" w:rsidRPr="00F14F3B" w:rsidRDefault="00F14F3B" w:rsidP="00F14F3B"/>
    <w:p w:rsidR="00F14F3B" w:rsidRPr="00322B8E" w:rsidRDefault="00F14F3B" w:rsidP="00F14F3B">
      <w:pPr>
        <w:pStyle w:val="Heading1"/>
        <w:tabs>
          <w:tab w:val="left" w:pos="1065"/>
        </w:tabs>
        <w:spacing w:line="240" w:lineRule="auto"/>
        <w:rPr>
          <w:sz w:val="20"/>
          <w:szCs w:val="20"/>
        </w:rPr>
      </w:pPr>
      <w:r>
        <w:rPr>
          <w:sz w:val="20"/>
          <w:szCs w:val="20"/>
        </w:rPr>
        <w:tab/>
      </w:r>
      <w:bookmarkStart w:id="2" w:name="_Toc422213325"/>
      <w:bookmarkStart w:id="3" w:name="_Toc422213382"/>
      <w:r>
        <w:rPr>
          <w:rFonts w:ascii="Times New Roman" w:hAnsi="Times New Roman"/>
          <w:noProof/>
          <w:szCs w:val="24"/>
          <w:lang w:eastAsia="en-AU"/>
        </w:rPr>
        <w:drawing>
          <wp:inline distT="0" distB="0" distL="0" distR="0" wp14:anchorId="7F4603E9" wp14:editId="3C10F782">
            <wp:extent cx="1257300" cy="438150"/>
            <wp:effectExtent l="0" t="0" r="0"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438150"/>
                    </a:xfrm>
                    <a:prstGeom prst="rect">
                      <a:avLst/>
                    </a:prstGeom>
                    <a:noFill/>
                    <a:ln>
                      <a:noFill/>
                    </a:ln>
                  </pic:spPr>
                </pic:pic>
              </a:graphicData>
            </a:graphic>
          </wp:inline>
        </w:drawing>
      </w:r>
      <w:bookmarkEnd w:id="2"/>
      <w:bookmarkEnd w:id="3"/>
    </w:p>
    <w:p w:rsidR="00F14F3B" w:rsidRDefault="00F14F3B" w:rsidP="00F14F3B">
      <w:pPr>
        <w:rPr>
          <w:color w:val="auto"/>
        </w:rPr>
      </w:pPr>
    </w:p>
    <w:p w:rsidR="00F14F3B" w:rsidRDefault="00F14F3B" w:rsidP="00F14F3B">
      <w:pPr>
        <w:rPr>
          <w:color w:val="auto"/>
        </w:rPr>
      </w:pPr>
      <w:r w:rsidRPr="00CD3D51">
        <w:rPr>
          <w:color w:val="auto"/>
        </w:rPr>
        <w:t xml:space="preserve">With the exception of the Commonwealth Coat of Arms, and where otherwise noted, all material presented in this document is provided under </w:t>
      </w:r>
      <w:r w:rsidRPr="00B83916">
        <w:rPr>
          <w:color w:val="auto"/>
        </w:rPr>
        <w:t xml:space="preserve">Creative Commons Attribution-ShareAlike </w:t>
      </w:r>
      <w:r>
        <w:rPr>
          <w:color w:val="auto"/>
        </w:rPr>
        <w:t>4</w:t>
      </w:r>
      <w:r w:rsidRPr="00B83916">
        <w:rPr>
          <w:color w:val="auto"/>
        </w:rPr>
        <w:t xml:space="preserve">.0 </w:t>
      </w:r>
      <w:r>
        <w:rPr>
          <w:color w:val="auto"/>
        </w:rPr>
        <w:t>International</w:t>
      </w:r>
      <w:r w:rsidRPr="00B83916">
        <w:rPr>
          <w:color w:val="auto"/>
        </w:rPr>
        <w:t xml:space="preserve"> License </w:t>
      </w:r>
      <w:hyperlink r:id="rId12" w:history="1">
        <w:r w:rsidRPr="00B4651D">
          <w:rPr>
            <w:rStyle w:val="Hyperlink"/>
          </w:rPr>
          <w:t>http://creativecommons.org/licenses/by-sa/4.0/</w:t>
        </w:r>
      </w:hyperlink>
      <w:r w:rsidRPr="00CD3D51">
        <w:rPr>
          <w:color w:val="auto"/>
        </w:rPr>
        <w:t>.</w:t>
      </w:r>
    </w:p>
    <w:p w:rsidR="00F14F3B" w:rsidRPr="00CD3D51" w:rsidRDefault="00F14F3B" w:rsidP="00F14F3B">
      <w:pPr>
        <w:rPr>
          <w:color w:val="auto"/>
        </w:rPr>
      </w:pPr>
    </w:p>
    <w:p w:rsidR="00F14F3B" w:rsidRDefault="00F14F3B" w:rsidP="00F14F3B">
      <w:pPr>
        <w:rPr>
          <w:color w:val="17365D"/>
        </w:rPr>
      </w:pPr>
      <w:r w:rsidRPr="00CD3D51">
        <w:rPr>
          <w:color w:val="auto"/>
        </w:rPr>
        <w:t xml:space="preserve">The details of the relevant licence conditions are available on the Creative Commons website (accessible using the links provided) as is the full legal code for the </w:t>
      </w:r>
      <w:r w:rsidRPr="00517458">
        <w:rPr>
          <w:rFonts w:cs="Arial"/>
        </w:rPr>
        <w:t xml:space="preserve">Creative Commons Attribution-ShareAlike </w:t>
      </w:r>
      <w:r>
        <w:rPr>
          <w:rFonts w:cs="Arial"/>
        </w:rPr>
        <w:t>4</w:t>
      </w:r>
      <w:r w:rsidRPr="00517458">
        <w:rPr>
          <w:rFonts w:cs="Arial"/>
        </w:rPr>
        <w:t xml:space="preserve">.0 </w:t>
      </w:r>
      <w:r>
        <w:rPr>
          <w:rFonts w:cs="Arial"/>
        </w:rPr>
        <w:t>International</w:t>
      </w:r>
      <w:r w:rsidRPr="00517458">
        <w:rPr>
          <w:rFonts w:cs="Arial"/>
        </w:rPr>
        <w:t xml:space="preserve"> License</w:t>
      </w:r>
      <w:r>
        <w:rPr>
          <w:color w:val="auto"/>
        </w:rPr>
        <w:t xml:space="preserve"> </w:t>
      </w:r>
      <w:hyperlink r:id="rId13" w:history="1">
        <w:r w:rsidRPr="00B4651D">
          <w:rPr>
            <w:rStyle w:val="Hyperlink"/>
          </w:rPr>
          <w:t>http://creativecommons.org/licenses/by-sa/4.0/legalcode</w:t>
        </w:r>
      </w:hyperlink>
      <w:r>
        <w:rPr>
          <w:color w:val="17365D"/>
        </w:rPr>
        <w:t>.</w:t>
      </w:r>
    </w:p>
    <w:p w:rsidR="00F14F3B" w:rsidRDefault="00F14F3B" w:rsidP="00F14F3B">
      <w:pPr>
        <w:rPr>
          <w:highlight w:val="yellow"/>
        </w:rPr>
      </w:pPr>
    </w:p>
    <w:p w:rsidR="00F14F3B" w:rsidRDefault="00F14F3B" w:rsidP="00F14F3B">
      <w:pPr>
        <w:rPr>
          <w:highlight w:val="yellow"/>
        </w:rPr>
      </w:pPr>
    </w:p>
    <w:p w:rsidR="00F14F3B" w:rsidRDefault="00F14F3B" w:rsidP="00F14F3B">
      <w:pPr>
        <w:rPr>
          <w:highlight w:val="yellow"/>
        </w:rPr>
      </w:pPr>
    </w:p>
    <w:p w:rsidR="00F14F3B" w:rsidRPr="00157E8B" w:rsidRDefault="00F14F3B" w:rsidP="00F14F3B">
      <w:r w:rsidRPr="00157E8B">
        <w:t>Requests and inquiries concerning these rights should be addressed to:</w:t>
      </w:r>
    </w:p>
    <w:p w:rsidR="00F14F3B" w:rsidRPr="00157E8B" w:rsidRDefault="00F14F3B" w:rsidP="00F14F3B">
      <w:r w:rsidRPr="00157E8B">
        <w:t>Office for Learning and Teaching</w:t>
      </w:r>
    </w:p>
    <w:p w:rsidR="00F14F3B" w:rsidRPr="00157E8B" w:rsidRDefault="00F14F3B" w:rsidP="00F14F3B">
      <w:r w:rsidRPr="00157E8B">
        <w:t>Department of Education</w:t>
      </w:r>
    </w:p>
    <w:p w:rsidR="00F14F3B" w:rsidRPr="00157E8B" w:rsidRDefault="00F14F3B" w:rsidP="00F14F3B"/>
    <w:p w:rsidR="00F14F3B" w:rsidRDefault="00F14F3B" w:rsidP="00F14F3B">
      <w:r w:rsidRPr="00157E8B">
        <w:t xml:space="preserve">GPO Box 9880, </w:t>
      </w:r>
    </w:p>
    <w:p w:rsidR="00F14F3B" w:rsidRPr="00157E8B" w:rsidRDefault="00F14F3B" w:rsidP="00F14F3B">
      <w:r w:rsidRPr="00157E8B">
        <w:t>Location code N255EL10</w:t>
      </w:r>
    </w:p>
    <w:p w:rsidR="00F14F3B" w:rsidRDefault="00F14F3B" w:rsidP="00F14F3B">
      <w:r w:rsidRPr="00157E8B">
        <w:t>Sydney NSW 2001</w:t>
      </w:r>
      <w:r w:rsidRPr="00291A58">
        <w:t xml:space="preserve"> </w:t>
      </w:r>
    </w:p>
    <w:p w:rsidR="00F14F3B" w:rsidRDefault="00F14F3B" w:rsidP="00F14F3B"/>
    <w:p w:rsidR="00F14F3B" w:rsidRPr="00D722D6" w:rsidRDefault="00F14F3B" w:rsidP="00F14F3B">
      <w:pPr>
        <w:rPr>
          <w:rFonts w:cs="Calibri"/>
        </w:rPr>
      </w:pPr>
      <w:r w:rsidRPr="00D722D6">
        <w:rPr>
          <w:rFonts w:cs="Calibri"/>
        </w:rPr>
        <w:t>&lt;</w:t>
      </w:r>
      <w:hyperlink r:id="rId14" w:history="1">
        <w:r w:rsidRPr="00B4651D">
          <w:rPr>
            <w:rStyle w:val="Hyperlink"/>
          </w:rPr>
          <w:t>learningandteaching@education.gov.au</w:t>
        </w:r>
      </w:hyperlink>
      <w:r w:rsidRPr="00D722D6">
        <w:rPr>
          <w:rFonts w:cs="Calibri"/>
        </w:rPr>
        <w:t>&gt;</w:t>
      </w:r>
    </w:p>
    <w:p w:rsidR="00F14F3B" w:rsidRDefault="00F14F3B" w:rsidP="00F14F3B">
      <w:pPr>
        <w:pStyle w:val="NoSpacing"/>
      </w:pPr>
    </w:p>
    <w:p w:rsidR="00F14F3B" w:rsidRDefault="00F14F3B" w:rsidP="00F14F3B">
      <w:pPr>
        <w:pStyle w:val="NoSpacing"/>
      </w:pPr>
    </w:p>
    <w:p w:rsidR="00F14F3B" w:rsidRDefault="00F14F3B" w:rsidP="00F14F3B">
      <w:pPr>
        <w:spacing w:line="280" w:lineRule="exact"/>
        <w:rPr>
          <w:b/>
        </w:rPr>
      </w:pPr>
      <w:r>
        <w:t>2015</w:t>
      </w:r>
    </w:p>
    <w:p w:rsidR="00F14F3B" w:rsidRDefault="00F14F3B" w:rsidP="00F14F3B">
      <w:pPr>
        <w:spacing w:line="280" w:lineRule="exact"/>
      </w:pPr>
    </w:p>
    <w:p w:rsidR="00F14F3B" w:rsidRDefault="00F14F3B" w:rsidP="00F14F3B">
      <w:pPr>
        <w:rPr>
          <w:lang w:eastAsia="en-AU"/>
        </w:rPr>
      </w:pPr>
    </w:p>
    <w:p w:rsidR="00F14F3B" w:rsidRDefault="00F14F3B" w:rsidP="00F14F3B">
      <w:pPr>
        <w:rPr>
          <w:lang w:eastAsia="en-AU"/>
        </w:rPr>
      </w:pPr>
    </w:p>
    <w:p w:rsidR="001621BD" w:rsidRDefault="001621BD" w:rsidP="001621BD">
      <w:pPr>
        <w:rPr>
          <w:lang w:eastAsia="en-AU"/>
        </w:rPr>
      </w:pPr>
      <w:r>
        <w:rPr>
          <w:lang w:eastAsia="en-AU"/>
        </w:rPr>
        <w:t xml:space="preserve">ISBN </w:t>
      </w:r>
      <w:r>
        <w:rPr>
          <w:rFonts w:ascii="Arial" w:hAnsi="Arial" w:cs="Arial"/>
          <w:sz w:val="20"/>
          <w:szCs w:val="20"/>
        </w:rPr>
        <w:tab/>
      </w:r>
      <w:r>
        <w:rPr>
          <w:rFonts w:ascii="Arial" w:hAnsi="Arial" w:cs="Arial"/>
          <w:sz w:val="20"/>
          <w:szCs w:val="20"/>
        </w:rPr>
        <w:tab/>
        <w:t>978-1-76028-27</w:t>
      </w:r>
      <w:r>
        <w:rPr>
          <w:rFonts w:ascii="Arial" w:hAnsi="Arial" w:cs="Arial"/>
          <w:sz w:val="20"/>
          <w:szCs w:val="20"/>
        </w:rPr>
        <w:t>6-9</w:t>
      </w:r>
      <w:r>
        <w:rPr>
          <w:rFonts w:ascii="Arial" w:hAnsi="Arial" w:cs="Arial"/>
          <w:sz w:val="20"/>
          <w:szCs w:val="20"/>
        </w:rPr>
        <w:tab/>
      </w:r>
      <w:r>
        <w:rPr>
          <w:rFonts w:ascii="Arial" w:hAnsi="Arial" w:cs="Arial"/>
          <w:sz w:val="20"/>
          <w:szCs w:val="20"/>
        </w:rPr>
        <w:tab/>
        <w:t>[PRINT]</w:t>
      </w:r>
      <w:r>
        <w:rPr>
          <w:lang w:eastAsia="en-AU"/>
        </w:rPr>
        <w:t xml:space="preserve"> </w:t>
      </w:r>
    </w:p>
    <w:p w:rsidR="001621BD" w:rsidRDefault="001621BD" w:rsidP="001621BD">
      <w:pPr>
        <w:rPr>
          <w:lang w:eastAsia="en-AU"/>
        </w:rPr>
      </w:pPr>
      <w:r>
        <w:rPr>
          <w:lang w:eastAsia="en-AU"/>
        </w:rPr>
        <w:t xml:space="preserve">ISBN </w:t>
      </w:r>
      <w:r>
        <w:rPr>
          <w:rFonts w:ascii="Arial" w:hAnsi="Arial" w:cs="Arial"/>
          <w:sz w:val="20"/>
          <w:szCs w:val="20"/>
        </w:rPr>
        <w:tab/>
      </w:r>
      <w:r>
        <w:rPr>
          <w:rFonts w:ascii="Arial" w:hAnsi="Arial" w:cs="Arial"/>
          <w:sz w:val="20"/>
          <w:szCs w:val="20"/>
        </w:rPr>
        <w:tab/>
        <w:t>978-1-76028-2</w:t>
      </w:r>
      <w:r>
        <w:rPr>
          <w:rFonts w:ascii="Arial" w:hAnsi="Arial" w:cs="Arial"/>
          <w:sz w:val="20"/>
          <w:szCs w:val="20"/>
        </w:rPr>
        <w:t>77</w:t>
      </w:r>
      <w:r>
        <w:rPr>
          <w:rFonts w:ascii="Arial" w:hAnsi="Arial" w:cs="Arial"/>
          <w:sz w:val="20"/>
          <w:szCs w:val="20"/>
        </w:rPr>
        <w:t>-6</w:t>
      </w:r>
      <w:r>
        <w:rPr>
          <w:rFonts w:ascii="Arial" w:hAnsi="Arial" w:cs="Arial"/>
          <w:sz w:val="20"/>
          <w:szCs w:val="20"/>
        </w:rPr>
        <w:tab/>
      </w:r>
      <w:r>
        <w:rPr>
          <w:rFonts w:ascii="Arial" w:hAnsi="Arial" w:cs="Arial"/>
          <w:sz w:val="20"/>
          <w:szCs w:val="20"/>
        </w:rPr>
        <w:tab/>
        <w:t>[PDF]</w:t>
      </w:r>
      <w:r>
        <w:rPr>
          <w:lang w:eastAsia="en-AU"/>
        </w:rPr>
        <w:t xml:space="preserve"> </w:t>
      </w:r>
    </w:p>
    <w:p w:rsidR="001621BD" w:rsidRDefault="001621BD" w:rsidP="001621BD">
      <w:pPr>
        <w:rPr>
          <w:lang w:eastAsia="en-AU"/>
        </w:rPr>
      </w:pPr>
      <w:r>
        <w:rPr>
          <w:lang w:eastAsia="en-AU"/>
        </w:rPr>
        <w:t xml:space="preserve">ISBN </w:t>
      </w:r>
      <w:r>
        <w:rPr>
          <w:rFonts w:ascii="Arial" w:hAnsi="Arial" w:cs="Arial"/>
          <w:sz w:val="20"/>
          <w:szCs w:val="20"/>
        </w:rPr>
        <w:tab/>
      </w:r>
      <w:r>
        <w:rPr>
          <w:rFonts w:ascii="Arial" w:hAnsi="Arial" w:cs="Arial"/>
          <w:sz w:val="20"/>
          <w:szCs w:val="20"/>
        </w:rPr>
        <w:tab/>
        <w:t>978-1-76028-2</w:t>
      </w:r>
      <w:r>
        <w:rPr>
          <w:rFonts w:ascii="Arial" w:hAnsi="Arial" w:cs="Arial"/>
          <w:sz w:val="20"/>
          <w:szCs w:val="20"/>
        </w:rPr>
        <w:t>78</w:t>
      </w:r>
      <w:r>
        <w:rPr>
          <w:rFonts w:ascii="Arial" w:hAnsi="Arial" w:cs="Arial"/>
          <w:sz w:val="20"/>
          <w:szCs w:val="20"/>
        </w:rPr>
        <w:t>-3</w:t>
      </w:r>
      <w:r>
        <w:rPr>
          <w:rFonts w:ascii="Arial" w:hAnsi="Arial" w:cs="Arial"/>
          <w:sz w:val="20"/>
          <w:szCs w:val="20"/>
        </w:rPr>
        <w:tab/>
      </w:r>
      <w:r>
        <w:rPr>
          <w:rFonts w:ascii="Arial" w:hAnsi="Arial" w:cs="Arial"/>
          <w:sz w:val="20"/>
          <w:szCs w:val="20"/>
        </w:rPr>
        <w:tab/>
        <w:t>[</w:t>
      </w:r>
      <w:proofErr w:type="spellStart"/>
      <w:r>
        <w:rPr>
          <w:rFonts w:ascii="Arial" w:hAnsi="Arial" w:cs="Arial"/>
          <w:sz w:val="20"/>
          <w:szCs w:val="20"/>
        </w:rPr>
        <w:t>DOCX</w:t>
      </w:r>
      <w:proofErr w:type="spellEnd"/>
      <w:r>
        <w:rPr>
          <w:rFonts w:ascii="Arial" w:hAnsi="Arial" w:cs="Arial"/>
          <w:sz w:val="20"/>
          <w:szCs w:val="20"/>
        </w:rPr>
        <w:t>]</w:t>
      </w:r>
      <w:r>
        <w:rPr>
          <w:lang w:eastAsia="en-AU"/>
        </w:rPr>
        <w:t xml:space="preserve"> </w:t>
      </w:r>
    </w:p>
    <w:p w:rsidR="00C44D86" w:rsidRDefault="00C44D86" w:rsidP="00F14F3B">
      <w:pPr>
        <w:rPr>
          <w:lang w:eastAsia="en-AU"/>
        </w:rPr>
      </w:pPr>
      <w:bookmarkStart w:id="4" w:name="_GoBack"/>
      <w:bookmarkEnd w:id="4"/>
      <w:r>
        <w:rPr>
          <w:lang w:eastAsia="en-AU"/>
        </w:rPr>
        <w:br w:type="page"/>
      </w:r>
    </w:p>
    <w:sdt>
      <w:sdtPr>
        <w:rPr>
          <w:b w:val="0"/>
          <w:color w:val="000000"/>
          <w:sz w:val="24"/>
        </w:rPr>
        <w:id w:val="-1980990810"/>
        <w:docPartObj>
          <w:docPartGallery w:val="Table of Contents"/>
          <w:docPartUnique/>
        </w:docPartObj>
      </w:sdtPr>
      <w:sdtEndPr>
        <w:rPr>
          <w:bCs/>
          <w:noProof/>
        </w:rPr>
      </w:sdtEndPr>
      <w:sdtContent>
        <w:p w:rsidR="00C67EF1" w:rsidRDefault="00C67EF1" w:rsidP="00C44D86">
          <w:pPr>
            <w:pStyle w:val="Heading1"/>
          </w:pPr>
        </w:p>
        <w:p w:rsidR="00C44D86" w:rsidRDefault="00C44D86" w:rsidP="00C44D86">
          <w:pPr>
            <w:pStyle w:val="Heading1"/>
          </w:pPr>
          <w:r>
            <w:t>Contents</w:t>
          </w:r>
        </w:p>
        <w:p w:rsidR="00C44D86" w:rsidRDefault="00C44D86" w:rsidP="00C44D86">
          <w:pPr>
            <w:pStyle w:val="TOC1"/>
            <w:spacing w:line="276" w:lineRule="auto"/>
            <w:rPr>
              <w:rFonts w:asciiTheme="minorHAnsi" w:eastAsiaTheme="minorEastAsia" w:hAnsiTheme="minorHAnsi" w:cstheme="minorBidi"/>
              <w:noProof/>
              <w:color w:val="auto"/>
              <w:sz w:val="22"/>
              <w:lang w:eastAsia="en-AU"/>
            </w:rPr>
          </w:pPr>
          <w:r>
            <w:fldChar w:fldCharType="begin"/>
          </w:r>
          <w:r>
            <w:instrText xml:space="preserve"> TOC \o "1-3" \h \z \u </w:instrText>
          </w:r>
          <w:r>
            <w:fldChar w:fldCharType="separate"/>
          </w:r>
          <w:hyperlink w:anchor="_Toc422213382" w:history="1"/>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383" w:history="1">
            <w:r w:rsidR="00C44D86" w:rsidRPr="008554A3">
              <w:rPr>
                <w:rStyle w:val="Hyperlink"/>
                <w:noProof/>
                <w:sz w:val="28"/>
              </w:rPr>
              <w:t>Network summary</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_Toc422213383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1</w:t>
            </w:r>
            <w:r w:rsidR="00C44D86" w:rsidRPr="008554A3">
              <w:rPr>
                <w:noProof/>
                <w:webHidden/>
                <w:sz w:val="28"/>
              </w:rPr>
              <w:fldChar w:fldCharType="end"/>
            </w:r>
          </w:hyperlink>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384" w:history="1">
            <w:r w:rsidR="00C44D86" w:rsidRPr="008554A3">
              <w:rPr>
                <w:rStyle w:val="Hyperlink"/>
                <w:noProof/>
                <w:sz w:val="28"/>
              </w:rPr>
              <w:t>Contribution to learning and teaching</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_Toc422213384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3</w:t>
            </w:r>
            <w:r w:rsidR="00C44D86" w:rsidRPr="008554A3">
              <w:rPr>
                <w:noProof/>
                <w:webHidden/>
                <w:sz w:val="28"/>
              </w:rPr>
              <w:fldChar w:fldCharType="end"/>
            </w:r>
          </w:hyperlink>
        </w:p>
        <w:p w:rsidR="00C44D86" w:rsidRPr="008554A3" w:rsidRDefault="001621BD" w:rsidP="008554A3">
          <w:pPr>
            <w:pStyle w:val="TOC2"/>
            <w:spacing w:line="360" w:lineRule="auto"/>
            <w:rPr>
              <w:rFonts w:asciiTheme="minorHAnsi" w:eastAsiaTheme="minorEastAsia" w:hAnsiTheme="minorHAnsi" w:cstheme="minorBidi"/>
              <w:lang w:eastAsia="en-AU"/>
            </w:rPr>
          </w:pPr>
          <w:hyperlink w:anchor="_Toc422213385" w:history="1">
            <w:r w:rsidR="00C44D86" w:rsidRPr="008554A3">
              <w:rPr>
                <w:rStyle w:val="Hyperlink"/>
                <w:sz w:val="28"/>
              </w:rPr>
              <w:t>The pedagogical elements of JoMeC programs of study</w:t>
            </w:r>
            <w:r w:rsidR="00C44D86" w:rsidRPr="008554A3">
              <w:rPr>
                <w:webHidden/>
                <w:sz w:val="28"/>
              </w:rPr>
              <w:tab/>
            </w:r>
            <w:r w:rsidR="00C44D86" w:rsidRPr="008554A3">
              <w:rPr>
                <w:webHidden/>
                <w:sz w:val="28"/>
              </w:rPr>
              <w:fldChar w:fldCharType="begin"/>
            </w:r>
            <w:r w:rsidR="00C44D86" w:rsidRPr="008554A3">
              <w:rPr>
                <w:webHidden/>
                <w:sz w:val="28"/>
              </w:rPr>
              <w:instrText xml:space="preserve"> PAGEREF _Toc422213385 \h </w:instrText>
            </w:r>
            <w:r w:rsidR="00C44D86" w:rsidRPr="008554A3">
              <w:rPr>
                <w:webHidden/>
                <w:sz w:val="28"/>
              </w:rPr>
            </w:r>
            <w:r w:rsidR="00C44D86" w:rsidRPr="008554A3">
              <w:rPr>
                <w:webHidden/>
                <w:sz w:val="28"/>
              </w:rPr>
              <w:fldChar w:fldCharType="separate"/>
            </w:r>
            <w:r w:rsidR="00C44D86" w:rsidRPr="008554A3">
              <w:rPr>
                <w:webHidden/>
                <w:sz w:val="28"/>
              </w:rPr>
              <w:t>3</w:t>
            </w:r>
            <w:r w:rsidR="00C44D86" w:rsidRPr="008554A3">
              <w:rPr>
                <w:webHidden/>
                <w:sz w:val="28"/>
              </w:rPr>
              <w:fldChar w:fldCharType="end"/>
            </w:r>
          </w:hyperlink>
        </w:p>
        <w:p w:rsidR="00C44D86" w:rsidRPr="008554A3" w:rsidRDefault="001621BD" w:rsidP="008554A3">
          <w:pPr>
            <w:pStyle w:val="TOC2"/>
            <w:spacing w:line="360" w:lineRule="auto"/>
            <w:rPr>
              <w:rFonts w:asciiTheme="minorHAnsi" w:eastAsiaTheme="minorEastAsia" w:hAnsiTheme="minorHAnsi" w:cstheme="minorBidi"/>
              <w:lang w:eastAsia="en-AU"/>
            </w:rPr>
          </w:pPr>
          <w:hyperlink w:anchor="_Toc422213386" w:history="1">
            <w:r w:rsidR="00C44D86" w:rsidRPr="008554A3">
              <w:rPr>
                <w:rStyle w:val="Hyperlink"/>
                <w:sz w:val="28"/>
              </w:rPr>
              <w:t>Methodological innovation</w:t>
            </w:r>
            <w:r w:rsidR="00C44D86" w:rsidRPr="008554A3">
              <w:rPr>
                <w:webHidden/>
                <w:sz w:val="28"/>
              </w:rPr>
              <w:tab/>
            </w:r>
            <w:r w:rsidR="00C44D86" w:rsidRPr="008554A3">
              <w:rPr>
                <w:webHidden/>
                <w:sz w:val="28"/>
              </w:rPr>
              <w:fldChar w:fldCharType="begin"/>
            </w:r>
            <w:r w:rsidR="00C44D86" w:rsidRPr="008554A3">
              <w:rPr>
                <w:webHidden/>
                <w:sz w:val="28"/>
              </w:rPr>
              <w:instrText xml:space="preserve"> PAGEREF _Toc422213386 \h </w:instrText>
            </w:r>
            <w:r w:rsidR="00C44D86" w:rsidRPr="008554A3">
              <w:rPr>
                <w:webHidden/>
                <w:sz w:val="28"/>
              </w:rPr>
            </w:r>
            <w:r w:rsidR="00C44D86" w:rsidRPr="008554A3">
              <w:rPr>
                <w:webHidden/>
                <w:sz w:val="28"/>
              </w:rPr>
              <w:fldChar w:fldCharType="separate"/>
            </w:r>
            <w:r w:rsidR="00C44D86" w:rsidRPr="008554A3">
              <w:rPr>
                <w:webHidden/>
                <w:sz w:val="28"/>
              </w:rPr>
              <w:t>5</w:t>
            </w:r>
            <w:r w:rsidR="00C44D86" w:rsidRPr="008554A3">
              <w:rPr>
                <w:webHidden/>
                <w:sz w:val="28"/>
              </w:rPr>
              <w:fldChar w:fldCharType="end"/>
            </w:r>
          </w:hyperlink>
        </w:p>
        <w:p w:rsidR="00C44D86" w:rsidRPr="008554A3" w:rsidRDefault="001621BD" w:rsidP="008554A3">
          <w:pPr>
            <w:pStyle w:val="TOC2"/>
            <w:spacing w:line="360" w:lineRule="auto"/>
            <w:rPr>
              <w:rFonts w:asciiTheme="minorHAnsi" w:eastAsiaTheme="minorEastAsia" w:hAnsiTheme="minorHAnsi" w:cstheme="minorBidi"/>
              <w:lang w:eastAsia="en-AU"/>
            </w:rPr>
          </w:pPr>
          <w:hyperlink w:anchor="_Toc422213387" w:history="1">
            <w:r w:rsidR="00C44D86" w:rsidRPr="008554A3">
              <w:rPr>
                <w:rStyle w:val="Hyperlink"/>
                <w:sz w:val="28"/>
              </w:rPr>
              <w:t>Threshold Learning Outcomes for JoMeC disciplines</w:t>
            </w:r>
            <w:r w:rsidR="00C44D86" w:rsidRPr="008554A3">
              <w:rPr>
                <w:webHidden/>
                <w:sz w:val="28"/>
              </w:rPr>
              <w:tab/>
            </w:r>
            <w:r w:rsidR="00C44D86" w:rsidRPr="008554A3">
              <w:rPr>
                <w:webHidden/>
                <w:sz w:val="28"/>
              </w:rPr>
              <w:fldChar w:fldCharType="begin"/>
            </w:r>
            <w:r w:rsidR="00C44D86" w:rsidRPr="008554A3">
              <w:rPr>
                <w:webHidden/>
                <w:sz w:val="28"/>
              </w:rPr>
              <w:instrText xml:space="preserve"> PAGEREF _Toc422213387 \h </w:instrText>
            </w:r>
            <w:r w:rsidR="00C44D86" w:rsidRPr="008554A3">
              <w:rPr>
                <w:webHidden/>
                <w:sz w:val="28"/>
              </w:rPr>
            </w:r>
            <w:r w:rsidR="00C44D86" w:rsidRPr="008554A3">
              <w:rPr>
                <w:webHidden/>
                <w:sz w:val="28"/>
              </w:rPr>
              <w:fldChar w:fldCharType="separate"/>
            </w:r>
            <w:r w:rsidR="00C44D86" w:rsidRPr="008554A3">
              <w:rPr>
                <w:webHidden/>
                <w:sz w:val="28"/>
              </w:rPr>
              <w:t>6</w:t>
            </w:r>
            <w:r w:rsidR="00C44D86" w:rsidRPr="008554A3">
              <w:rPr>
                <w:webHidden/>
                <w:sz w:val="28"/>
              </w:rPr>
              <w:fldChar w:fldCharType="end"/>
            </w:r>
          </w:hyperlink>
        </w:p>
        <w:p w:rsidR="00C44D86" w:rsidRPr="008554A3" w:rsidRDefault="001621BD" w:rsidP="008554A3">
          <w:pPr>
            <w:pStyle w:val="TOC2"/>
            <w:spacing w:line="360" w:lineRule="auto"/>
            <w:rPr>
              <w:rFonts w:asciiTheme="minorHAnsi" w:eastAsiaTheme="minorEastAsia" w:hAnsiTheme="minorHAnsi" w:cstheme="minorBidi"/>
              <w:lang w:eastAsia="en-AU"/>
            </w:rPr>
          </w:pPr>
          <w:hyperlink w:anchor="_Toc422213388" w:history="1">
            <w:r w:rsidR="00C44D86" w:rsidRPr="008554A3">
              <w:rPr>
                <w:rStyle w:val="Hyperlink"/>
                <w:sz w:val="28"/>
              </w:rPr>
              <w:t>Building ongoing resources and a sustainable network</w:t>
            </w:r>
            <w:r w:rsidR="00C44D86" w:rsidRPr="008554A3">
              <w:rPr>
                <w:webHidden/>
                <w:sz w:val="28"/>
              </w:rPr>
              <w:tab/>
            </w:r>
            <w:r w:rsidR="00C44D86" w:rsidRPr="008554A3">
              <w:rPr>
                <w:webHidden/>
                <w:sz w:val="28"/>
              </w:rPr>
              <w:fldChar w:fldCharType="begin"/>
            </w:r>
            <w:r w:rsidR="00C44D86" w:rsidRPr="008554A3">
              <w:rPr>
                <w:webHidden/>
                <w:sz w:val="28"/>
              </w:rPr>
              <w:instrText xml:space="preserve"> PAGEREF _Toc422213388 \h </w:instrText>
            </w:r>
            <w:r w:rsidR="00C44D86" w:rsidRPr="008554A3">
              <w:rPr>
                <w:webHidden/>
                <w:sz w:val="28"/>
              </w:rPr>
            </w:r>
            <w:r w:rsidR="00C44D86" w:rsidRPr="008554A3">
              <w:rPr>
                <w:webHidden/>
                <w:sz w:val="28"/>
              </w:rPr>
              <w:fldChar w:fldCharType="separate"/>
            </w:r>
            <w:r w:rsidR="00C44D86" w:rsidRPr="008554A3">
              <w:rPr>
                <w:webHidden/>
                <w:sz w:val="28"/>
              </w:rPr>
              <w:t>7</w:t>
            </w:r>
            <w:r w:rsidR="00C44D86" w:rsidRPr="008554A3">
              <w:rPr>
                <w:webHidden/>
                <w:sz w:val="28"/>
              </w:rPr>
              <w:fldChar w:fldCharType="end"/>
            </w:r>
          </w:hyperlink>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389" w:history="1">
            <w:r w:rsidR="00C44D86" w:rsidRPr="008554A3">
              <w:rPr>
                <w:rStyle w:val="Hyperlink"/>
                <w:noProof/>
                <w:sz w:val="28"/>
              </w:rPr>
              <w:t>Factors contributing to productive networking</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_Toc422213389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8</w:t>
            </w:r>
            <w:r w:rsidR="00C44D86" w:rsidRPr="008554A3">
              <w:rPr>
                <w:noProof/>
                <w:webHidden/>
                <w:sz w:val="28"/>
              </w:rPr>
              <w:fldChar w:fldCharType="end"/>
            </w:r>
          </w:hyperlink>
        </w:p>
        <w:p w:rsidR="00C44D86" w:rsidRPr="008554A3" w:rsidRDefault="001621BD" w:rsidP="008554A3">
          <w:pPr>
            <w:pStyle w:val="TOC2"/>
            <w:spacing w:line="360" w:lineRule="auto"/>
            <w:rPr>
              <w:rFonts w:asciiTheme="minorHAnsi" w:eastAsiaTheme="minorEastAsia" w:hAnsiTheme="minorHAnsi" w:cstheme="minorBidi"/>
              <w:lang w:eastAsia="en-AU"/>
            </w:rPr>
          </w:pPr>
          <w:hyperlink w:anchor="_Toc422213390" w:history="1">
            <w:r w:rsidR="00C44D86" w:rsidRPr="008554A3">
              <w:rPr>
                <w:rStyle w:val="Hyperlink"/>
                <w:sz w:val="28"/>
              </w:rPr>
              <w:t>Methods of networking that worked particularly well</w:t>
            </w:r>
            <w:r w:rsidR="00C44D86" w:rsidRPr="008554A3">
              <w:rPr>
                <w:webHidden/>
                <w:sz w:val="28"/>
              </w:rPr>
              <w:tab/>
            </w:r>
            <w:r w:rsidR="00C44D86" w:rsidRPr="008554A3">
              <w:rPr>
                <w:webHidden/>
                <w:sz w:val="28"/>
              </w:rPr>
              <w:fldChar w:fldCharType="begin"/>
            </w:r>
            <w:r w:rsidR="00C44D86" w:rsidRPr="008554A3">
              <w:rPr>
                <w:webHidden/>
                <w:sz w:val="28"/>
              </w:rPr>
              <w:instrText xml:space="preserve"> PAGEREF _Toc422213390 \h </w:instrText>
            </w:r>
            <w:r w:rsidR="00C44D86" w:rsidRPr="008554A3">
              <w:rPr>
                <w:webHidden/>
                <w:sz w:val="28"/>
              </w:rPr>
            </w:r>
            <w:r w:rsidR="00C44D86" w:rsidRPr="008554A3">
              <w:rPr>
                <w:webHidden/>
                <w:sz w:val="28"/>
              </w:rPr>
              <w:fldChar w:fldCharType="separate"/>
            </w:r>
            <w:r w:rsidR="00C44D86" w:rsidRPr="008554A3">
              <w:rPr>
                <w:webHidden/>
                <w:sz w:val="28"/>
              </w:rPr>
              <w:t>8</w:t>
            </w:r>
            <w:r w:rsidR="00C44D86" w:rsidRPr="008554A3">
              <w:rPr>
                <w:webHidden/>
                <w:sz w:val="28"/>
              </w:rPr>
              <w:fldChar w:fldCharType="end"/>
            </w:r>
          </w:hyperlink>
        </w:p>
        <w:p w:rsidR="00C44D86" w:rsidRPr="008554A3" w:rsidRDefault="001621BD" w:rsidP="008554A3">
          <w:pPr>
            <w:pStyle w:val="TOC2"/>
            <w:spacing w:line="360" w:lineRule="auto"/>
            <w:rPr>
              <w:rFonts w:asciiTheme="minorHAnsi" w:eastAsiaTheme="minorEastAsia" w:hAnsiTheme="minorHAnsi" w:cstheme="minorBidi"/>
              <w:lang w:eastAsia="en-AU"/>
            </w:rPr>
          </w:pPr>
          <w:hyperlink w:anchor="_Toc422213391" w:history="1">
            <w:r w:rsidR="00C44D86" w:rsidRPr="008554A3">
              <w:rPr>
                <w:rStyle w:val="Hyperlink"/>
                <w:sz w:val="28"/>
              </w:rPr>
              <w:t>Recommended methods of networking</w:t>
            </w:r>
            <w:r w:rsidR="00C44D86" w:rsidRPr="008554A3">
              <w:rPr>
                <w:webHidden/>
                <w:sz w:val="28"/>
              </w:rPr>
              <w:tab/>
            </w:r>
            <w:r w:rsidR="00C44D86" w:rsidRPr="008554A3">
              <w:rPr>
                <w:webHidden/>
                <w:sz w:val="28"/>
              </w:rPr>
              <w:fldChar w:fldCharType="begin"/>
            </w:r>
            <w:r w:rsidR="00C44D86" w:rsidRPr="008554A3">
              <w:rPr>
                <w:webHidden/>
                <w:sz w:val="28"/>
              </w:rPr>
              <w:instrText xml:space="preserve"> PAGEREF _Toc422213391 \h </w:instrText>
            </w:r>
            <w:r w:rsidR="00C44D86" w:rsidRPr="008554A3">
              <w:rPr>
                <w:webHidden/>
                <w:sz w:val="28"/>
              </w:rPr>
            </w:r>
            <w:r w:rsidR="00C44D86" w:rsidRPr="008554A3">
              <w:rPr>
                <w:webHidden/>
                <w:sz w:val="28"/>
              </w:rPr>
              <w:fldChar w:fldCharType="separate"/>
            </w:r>
            <w:r w:rsidR="00C44D86" w:rsidRPr="008554A3">
              <w:rPr>
                <w:webHidden/>
                <w:sz w:val="28"/>
              </w:rPr>
              <w:t>9</w:t>
            </w:r>
            <w:r w:rsidR="00C44D86" w:rsidRPr="008554A3">
              <w:rPr>
                <w:webHidden/>
                <w:sz w:val="28"/>
              </w:rPr>
              <w:fldChar w:fldCharType="end"/>
            </w:r>
          </w:hyperlink>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392" w:history="1">
            <w:r w:rsidR="00C44D86" w:rsidRPr="008554A3">
              <w:rPr>
                <w:rStyle w:val="Hyperlink"/>
                <w:noProof/>
                <w:sz w:val="28"/>
              </w:rPr>
              <w:t>Barriers to productive networking</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_Toc422213392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10</w:t>
            </w:r>
            <w:r w:rsidR="00C44D86" w:rsidRPr="008554A3">
              <w:rPr>
                <w:noProof/>
                <w:webHidden/>
                <w:sz w:val="28"/>
              </w:rPr>
              <w:fldChar w:fldCharType="end"/>
            </w:r>
          </w:hyperlink>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393" w:history="1">
            <w:r w:rsidR="00C44D86" w:rsidRPr="008554A3">
              <w:rPr>
                <w:rStyle w:val="Hyperlink"/>
                <w:noProof/>
                <w:sz w:val="28"/>
              </w:rPr>
              <w:t>What the network offers</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_Toc422213393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12</w:t>
            </w:r>
            <w:r w:rsidR="00C44D86" w:rsidRPr="008554A3">
              <w:rPr>
                <w:noProof/>
                <w:webHidden/>
                <w:sz w:val="28"/>
              </w:rPr>
              <w:fldChar w:fldCharType="end"/>
            </w:r>
          </w:hyperlink>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394" w:history="1">
            <w:r w:rsidR="00C44D86" w:rsidRPr="008554A3">
              <w:rPr>
                <w:rStyle w:val="Hyperlink"/>
                <w:noProof/>
                <w:sz w:val="28"/>
              </w:rPr>
              <w:t>Appendix 1: JoMeC Network Team and Contributors</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_Toc422213394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13</w:t>
            </w:r>
            <w:r w:rsidR="00C44D86" w:rsidRPr="008554A3">
              <w:rPr>
                <w:noProof/>
                <w:webHidden/>
                <w:sz w:val="28"/>
              </w:rPr>
              <w:fldChar w:fldCharType="end"/>
            </w:r>
          </w:hyperlink>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399" w:history="1">
            <w:r w:rsidR="00C44D86" w:rsidRPr="008554A3">
              <w:rPr>
                <w:rStyle w:val="Hyperlink"/>
                <w:noProof/>
                <w:sz w:val="28"/>
              </w:rPr>
              <w:t>Appendix 2: Endorsement of the Threshold Learning Outcomes by ANZCA</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_Toc422213399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15</w:t>
            </w:r>
            <w:r w:rsidR="00C44D86" w:rsidRPr="008554A3">
              <w:rPr>
                <w:noProof/>
                <w:webHidden/>
                <w:sz w:val="28"/>
              </w:rPr>
              <w:fldChar w:fldCharType="end"/>
            </w:r>
          </w:hyperlink>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400" w:history="1">
            <w:r w:rsidR="00C44D86" w:rsidRPr="008554A3">
              <w:rPr>
                <w:rStyle w:val="Hyperlink"/>
                <w:noProof/>
                <w:sz w:val="28"/>
              </w:rPr>
              <w:t>Appendix 3: Endorsement of Threshold Learning Outcomes by JERAA</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_Toc422213400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16</w:t>
            </w:r>
            <w:r w:rsidR="00C44D86" w:rsidRPr="008554A3">
              <w:rPr>
                <w:noProof/>
                <w:webHidden/>
                <w:sz w:val="28"/>
              </w:rPr>
              <w:fldChar w:fldCharType="end"/>
            </w:r>
          </w:hyperlink>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401" w:history="1">
            <w:r w:rsidR="00C44D86" w:rsidRPr="008554A3">
              <w:rPr>
                <w:rStyle w:val="Hyperlink"/>
                <w:noProof/>
                <w:sz w:val="28"/>
              </w:rPr>
              <w:t>Appendix 4: Presentations and Planned Publications</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_Toc422213401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17</w:t>
            </w:r>
            <w:r w:rsidR="00C44D86" w:rsidRPr="008554A3">
              <w:rPr>
                <w:noProof/>
                <w:webHidden/>
                <w:sz w:val="28"/>
              </w:rPr>
              <w:fldChar w:fldCharType="end"/>
            </w:r>
          </w:hyperlink>
        </w:p>
        <w:p w:rsidR="00C44D86" w:rsidRPr="008554A3" w:rsidRDefault="001621BD" w:rsidP="008554A3">
          <w:pPr>
            <w:pStyle w:val="TOC1"/>
            <w:spacing w:line="360" w:lineRule="auto"/>
            <w:rPr>
              <w:rFonts w:asciiTheme="minorHAnsi" w:eastAsiaTheme="minorEastAsia" w:hAnsiTheme="minorHAnsi" w:cstheme="minorBidi"/>
              <w:noProof/>
              <w:color w:val="auto"/>
              <w:lang w:eastAsia="en-AU"/>
            </w:rPr>
          </w:pPr>
          <w:hyperlink w:anchor="_Toc422213404" w:history="1">
            <w:r w:rsidR="00C44D86" w:rsidRPr="008554A3">
              <w:rPr>
                <w:rStyle w:val="Hyperlink"/>
                <w:noProof/>
                <w:sz w:val="28"/>
              </w:rPr>
              <w:t>Appendix 5: Abbreviations</w:t>
            </w:r>
            <w:r w:rsidR="00C44D86" w:rsidRPr="008554A3">
              <w:rPr>
                <w:noProof/>
                <w:webHidden/>
                <w:sz w:val="28"/>
              </w:rPr>
              <w:tab/>
            </w:r>
            <w:r w:rsidR="00C44D86" w:rsidRPr="008554A3">
              <w:rPr>
                <w:noProof/>
                <w:webHidden/>
                <w:sz w:val="28"/>
              </w:rPr>
              <w:fldChar w:fldCharType="begin"/>
            </w:r>
            <w:r w:rsidR="00C44D86" w:rsidRPr="008554A3">
              <w:rPr>
                <w:noProof/>
                <w:webHidden/>
                <w:sz w:val="28"/>
              </w:rPr>
              <w:instrText xml:space="preserve"> PAGEREF _Toc422213404 \h </w:instrText>
            </w:r>
            <w:r w:rsidR="00C44D86" w:rsidRPr="008554A3">
              <w:rPr>
                <w:noProof/>
                <w:webHidden/>
                <w:sz w:val="28"/>
              </w:rPr>
            </w:r>
            <w:r w:rsidR="00C44D86" w:rsidRPr="008554A3">
              <w:rPr>
                <w:noProof/>
                <w:webHidden/>
                <w:sz w:val="28"/>
              </w:rPr>
              <w:fldChar w:fldCharType="separate"/>
            </w:r>
            <w:r w:rsidR="00C44D86" w:rsidRPr="008554A3">
              <w:rPr>
                <w:noProof/>
                <w:webHidden/>
                <w:sz w:val="28"/>
              </w:rPr>
              <w:t>19</w:t>
            </w:r>
            <w:r w:rsidR="00C44D86" w:rsidRPr="008554A3">
              <w:rPr>
                <w:noProof/>
                <w:webHidden/>
                <w:sz w:val="28"/>
              </w:rPr>
              <w:fldChar w:fldCharType="end"/>
            </w:r>
          </w:hyperlink>
        </w:p>
        <w:p w:rsidR="00C44D86" w:rsidRDefault="00C44D86">
          <w:r>
            <w:rPr>
              <w:b/>
              <w:bCs/>
              <w:noProof/>
            </w:rPr>
            <w:fldChar w:fldCharType="end"/>
          </w:r>
        </w:p>
      </w:sdtContent>
    </w:sdt>
    <w:p w:rsidR="00FB7445" w:rsidRDefault="00B57229" w:rsidP="00F14F3B">
      <w:pPr>
        <w:sectPr w:rsidR="00FB7445" w:rsidSect="00F14F3B">
          <w:headerReference w:type="first" r:id="rId15"/>
          <w:footerReference w:type="first" r:id="rId16"/>
          <w:pgSz w:w="11907" w:h="16840" w:code="9"/>
          <w:pgMar w:top="1804" w:right="1440" w:bottom="1440" w:left="1440" w:header="720" w:footer="586" w:gutter="0"/>
          <w:pgNumType w:start="0"/>
          <w:cols w:space="720"/>
          <w:titlePg/>
          <w:docGrid w:linePitch="360"/>
        </w:sectPr>
      </w:pPr>
      <w:r>
        <w:br w:type="page"/>
      </w:r>
    </w:p>
    <w:p w:rsidR="002A03C8" w:rsidRPr="007C6671" w:rsidRDefault="0069341D" w:rsidP="00942FEC">
      <w:pPr>
        <w:pStyle w:val="Heading1"/>
        <w:spacing w:before="0"/>
      </w:pPr>
      <w:bookmarkStart w:id="5" w:name="_Toc422213326"/>
      <w:bookmarkStart w:id="6" w:name="_Toc422213383"/>
      <w:r>
        <w:lastRenderedPageBreak/>
        <w:t xml:space="preserve">Network </w:t>
      </w:r>
      <w:r w:rsidR="002A03C8">
        <w:t>summary</w:t>
      </w:r>
      <w:bookmarkEnd w:id="0"/>
      <w:bookmarkEnd w:id="1"/>
      <w:bookmarkEnd w:id="5"/>
      <w:bookmarkEnd w:id="6"/>
    </w:p>
    <w:p w:rsidR="00DC017A" w:rsidRDefault="005D15E1" w:rsidP="003A6A51">
      <w:pPr>
        <w:spacing w:after="120"/>
        <w:rPr>
          <w:lang w:val="en-US"/>
        </w:rPr>
      </w:pPr>
      <w:r>
        <w:rPr>
          <w:lang w:val="en-US"/>
        </w:rPr>
        <w:t>The JoMeC Network p</w:t>
      </w:r>
      <w:r w:rsidR="00DC017A">
        <w:rPr>
          <w:lang w:val="en-US"/>
        </w:rPr>
        <w:t>roject had three key objectives</w:t>
      </w:r>
      <w:r>
        <w:rPr>
          <w:lang w:val="en-US"/>
        </w:rPr>
        <w:t>. These were</w:t>
      </w:r>
      <w:r w:rsidR="006F41B9">
        <w:rPr>
          <w:lang w:val="en-US"/>
        </w:rPr>
        <w:t xml:space="preserve"> to</w:t>
      </w:r>
      <w:r w:rsidR="00DC017A">
        <w:rPr>
          <w:lang w:val="en-US"/>
        </w:rPr>
        <w:t xml:space="preserve">: </w:t>
      </w:r>
    </w:p>
    <w:p w:rsidR="00DC017A" w:rsidRPr="00386CA5" w:rsidRDefault="009E0279" w:rsidP="007D1DBD">
      <w:pPr>
        <w:numPr>
          <w:ilvl w:val="0"/>
          <w:numId w:val="3"/>
        </w:numPr>
        <w:spacing w:after="120"/>
        <w:rPr>
          <w:szCs w:val="24"/>
          <w:lang w:val="en-US"/>
        </w:rPr>
      </w:pPr>
      <w:r w:rsidRPr="00386CA5">
        <w:rPr>
          <w:szCs w:val="24"/>
          <w:lang w:val="en-US"/>
        </w:rPr>
        <w:t>Benchma</w:t>
      </w:r>
      <w:r w:rsidR="00B1605E" w:rsidRPr="00386CA5">
        <w:rPr>
          <w:szCs w:val="24"/>
          <w:lang w:val="en-US"/>
        </w:rPr>
        <w:t>rk the pedagogical elements of j</w:t>
      </w:r>
      <w:r w:rsidRPr="00386CA5">
        <w:rPr>
          <w:szCs w:val="24"/>
          <w:lang w:val="en-US"/>
        </w:rPr>
        <w:t xml:space="preserve">ournalism, </w:t>
      </w:r>
      <w:r w:rsidR="00B1605E" w:rsidRPr="00386CA5">
        <w:rPr>
          <w:szCs w:val="24"/>
          <w:lang w:val="en-US"/>
        </w:rPr>
        <w:t>m</w:t>
      </w:r>
      <w:r w:rsidR="00A2463D" w:rsidRPr="00386CA5">
        <w:rPr>
          <w:szCs w:val="24"/>
          <w:lang w:val="en-US"/>
        </w:rPr>
        <w:t xml:space="preserve">edia and </w:t>
      </w:r>
      <w:r w:rsidR="00B1605E" w:rsidRPr="00386CA5">
        <w:rPr>
          <w:szCs w:val="24"/>
          <w:lang w:val="en-US"/>
        </w:rPr>
        <w:t>c</w:t>
      </w:r>
      <w:r w:rsidRPr="00386CA5">
        <w:rPr>
          <w:szCs w:val="24"/>
          <w:lang w:val="en-US"/>
        </w:rPr>
        <w:t>ommunication</w:t>
      </w:r>
      <w:r w:rsidR="00A2463D" w:rsidRPr="00386CA5">
        <w:rPr>
          <w:szCs w:val="24"/>
          <w:lang w:val="en-US"/>
        </w:rPr>
        <w:t xml:space="preserve"> (JoMeC)</w:t>
      </w:r>
      <w:r w:rsidRPr="00386CA5">
        <w:rPr>
          <w:szCs w:val="24"/>
          <w:lang w:val="en-US"/>
        </w:rPr>
        <w:t xml:space="preserve"> programs </w:t>
      </w:r>
      <w:r w:rsidR="007600B7" w:rsidRPr="00386CA5">
        <w:rPr>
          <w:szCs w:val="24"/>
          <w:lang w:val="en-US"/>
        </w:rPr>
        <w:t xml:space="preserve">at Australian universities </w:t>
      </w:r>
      <w:r w:rsidR="002978E6" w:rsidRPr="00386CA5">
        <w:rPr>
          <w:szCs w:val="24"/>
          <w:lang w:val="en-US"/>
        </w:rPr>
        <w:t>in order to</w:t>
      </w:r>
      <w:r w:rsidRPr="00386CA5">
        <w:rPr>
          <w:szCs w:val="24"/>
          <w:lang w:val="en-US"/>
        </w:rPr>
        <w:t xml:space="preserve"> d</w:t>
      </w:r>
      <w:r w:rsidR="00DC017A" w:rsidRPr="00386CA5">
        <w:rPr>
          <w:szCs w:val="24"/>
          <w:lang w:val="en-US"/>
        </w:rPr>
        <w:t xml:space="preserve">evelop a set of </w:t>
      </w:r>
      <w:r w:rsidR="00BC6A2A" w:rsidRPr="00386CA5">
        <w:rPr>
          <w:szCs w:val="24"/>
          <w:lang w:val="en-US"/>
        </w:rPr>
        <w:t xml:space="preserve">minimum </w:t>
      </w:r>
      <w:r w:rsidR="00DC017A" w:rsidRPr="00386CA5">
        <w:rPr>
          <w:szCs w:val="24"/>
          <w:lang w:val="en-US"/>
        </w:rPr>
        <w:t>academic standards</w:t>
      </w:r>
      <w:r w:rsidR="00A2463D" w:rsidRPr="00386CA5">
        <w:rPr>
          <w:szCs w:val="24"/>
          <w:lang w:val="en-US"/>
        </w:rPr>
        <w:t xml:space="preserve">, to be known as Threshold Learning Outcomes (TLOs), which would </w:t>
      </w:r>
      <w:r w:rsidR="00DC017A" w:rsidRPr="00386CA5">
        <w:rPr>
          <w:szCs w:val="24"/>
          <w:lang w:val="en-US"/>
        </w:rPr>
        <w:t>applicable to</w:t>
      </w:r>
      <w:r w:rsidR="00BC6A2A" w:rsidRPr="00386CA5">
        <w:rPr>
          <w:szCs w:val="24"/>
          <w:lang w:val="en-US"/>
        </w:rPr>
        <w:t xml:space="preserve"> </w:t>
      </w:r>
      <w:r w:rsidR="00DC017A" w:rsidRPr="00386CA5">
        <w:rPr>
          <w:szCs w:val="24"/>
          <w:lang w:val="en-US"/>
        </w:rPr>
        <w:t xml:space="preserve">the disciplines of Journalism, </w:t>
      </w:r>
      <w:r w:rsidR="004179A0" w:rsidRPr="00386CA5">
        <w:rPr>
          <w:szCs w:val="24"/>
          <w:lang w:val="en-US"/>
        </w:rPr>
        <w:t>Communication and/or Media Studies, and Public Relations</w:t>
      </w:r>
      <w:r w:rsidR="006F41B9" w:rsidRPr="00386CA5">
        <w:rPr>
          <w:szCs w:val="24"/>
          <w:lang w:val="en-US"/>
        </w:rPr>
        <w:t>;</w:t>
      </w:r>
    </w:p>
    <w:p w:rsidR="0019244B" w:rsidRPr="00386CA5" w:rsidRDefault="0019244B" w:rsidP="0019244B">
      <w:pPr>
        <w:numPr>
          <w:ilvl w:val="0"/>
          <w:numId w:val="3"/>
        </w:numPr>
        <w:spacing w:after="120"/>
        <w:rPr>
          <w:szCs w:val="24"/>
        </w:rPr>
      </w:pPr>
      <w:r w:rsidRPr="00386CA5">
        <w:rPr>
          <w:szCs w:val="24"/>
          <w:lang w:val="en-US"/>
        </w:rPr>
        <w:t>Build a learning and teaching network of scholars across the JoMeC disciplines to support collaboration</w:t>
      </w:r>
      <w:r w:rsidR="000B5342" w:rsidRPr="00386CA5">
        <w:rPr>
          <w:szCs w:val="24"/>
          <w:lang w:val="en-US"/>
        </w:rPr>
        <w:t>,</w:t>
      </w:r>
      <w:r w:rsidRPr="00386CA5">
        <w:rPr>
          <w:szCs w:val="24"/>
          <w:lang w:val="en-US"/>
        </w:rPr>
        <w:t xml:space="preserve"> develop leadership potential </w:t>
      </w:r>
      <w:r w:rsidR="000B5342" w:rsidRPr="00386CA5">
        <w:rPr>
          <w:szCs w:val="24"/>
          <w:lang w:val="en-US"/>
        </w:rPr>
        <w:t>among educators</w:t>
      </w:r>
      <w:r w:rsidR="00F83DE9" w:rsidRPr="00386CA5">
        <w:rPr>
          <w:szCs w:val="24"/>
          <w:lang w:val="en-US"/>
        </w:rPr>
        <w:t>,</w:t>
      </w:r>
      <w:r w:rsidR="000B5342" w:rsidRPr="00386CA5">
        <w:rPr>
          <w:szCs w:val="24"/>
          <w:lang w:val="en-US"/>
        </w:rPr>
        <w:t xml:space="preserve"> </w:t>
      </w:r>
      <w:r w:rsidRPr="00386CA5">
        <w:rPr>
          <w:szCs w:val="24"/>
          <w:lang w:val="en-US"/>
        </w:rPr>
        <w:t>and progress shared priorities;</w:t>
      </w:r>
    </w:p>
    <w:p w:rsidR="003574C9" w:rsidRPr="00386CA5" w:rsidRDefault="00C901A1" w:rsidP="003574C9">
      <w:pPr>
        <w:numPr>
          <w:ilvl w:val="0"/>
          <w:numId w:val="3"/>
        </w:numPr>
        <w:spacing w:after="120"/>
        <w:rPr>
          <w:szCs w:val="24"/>
        </w:rPr>
      </w:pPr>
      <w:r w:rsidRPr="00386CA5">
        <w:rPr>
          <w:szCs w:val="24"/>
          <w:lang w:val="en-US"/>
        </w:rPr>
        <w:t xml:space="preserve">Create an online </w:t>
      </w:r>
      <w:r w:rsidR="006367C8" w:rsidRPr="00386CA5">
        <w:rPr>
          <w:szCs w:val="24"/>
          <w:lang w:val="en-US"/>
        </w:rPr>
        <w:t>resources hub</w:t>
      </w:r>
      <w:r w:rsidR="00DC017A" w:rsidRPr="00386CA5">
        <w:rPr>
          <w:szCs w:val="24"/>
          <w:lang w:val="en-US"/>
        </w:rPr>
        <w:t xml:space="preserve"> to </w:t>
      </w:r>
      <w:r w:rsidR="006367C8" w:rsidRPr="00386CA5">
        <w:rPr>
          <w:szCs w:val="24"/>
          <w:lang w:val="en-US"/>
        </w:rPr>
        <w:t>support learning and teaching excellence and foster leadership in learning and teaching</w:t>
      </w:r>
      <w:r w:rsidR="00A2463D" w:rsidRPr="00386CA5">
        <w:rPr>
          <w:szCs w:val="24"/>
          <w:lang w:val="en-US"/>
        </w:rPr>
        <w:t xml:space="preserve"> in the JoMeC disciplines</w:t>
      </w:r>
      <w:r w:rsidR="00644D20" w:rsidRPr="00386CA5">
        <w:rPr>
          <w:szCs w:val="24"/>
          <w:lang w:val="en-US"/>
        </w:rPr>
        <w:t xml:space="preserve">. </w:t>
      </w:r>
    </w:p>
    <w:p w:rsidR="009E0279" w:rsidRDefault="00A2463D" w:rsidP="00187DA1">
      <w:r>
        <w:t xml:space="preserve">In order to </w:t>
      </w:r>
      <w:r w:rsidR="009E0279">
        <w:t>benchmark the pedagogical elements of the JoMeC disciplines, t</w:t>
      </w:r>
      <w:r w:rsidR="00A57730">
        <w:t>he project started with a comprehensive review of the disciplinary setting</w:t>
      </w:r>
      <w:r w:rsidR="003574C9">
        <w:t xml:space="preserve">s of journalism, media </w:t>
      </w:r>
      <w:r w:rsidR="008E4D82">
        <w:t>and communication-related programs</w:t>
      </w:r>
      <w:r w:rsidR="00A57730">
        <w:t xml:space="preserve"> within </w:t>
      </w:r>
      <w:r w:rsidR="008E4D82">
        <w:t xml:space="preserve">Higher Education in </w:t>
      </w:r>
      <w:r w:rsidR="00A57730">
        <w:t>Australia</w:t>
      </w:r>
      <w:r w:rsidR="00460ACA">
        <w:t xml:space="preserve"> plus</w:t>
      </w:r>
      <w:r w:rsidR="00A57730">
        <w:t xml:space="preserve"> a</w:t>
      </w:r>
      <w:r w:rsidR="009E0279">
        <w:t>n</w:t>
      </w:r>
      <w:r w:rsidR="00A57730">
        <w:t xml:space="preserve"> </w:t>
      </w:r>
      <w:r w:rsidR="009E0279">
        <w:t>analysis</w:t>
      </w:r>
      <w:r w:rsidR="00A57730">
        <w:t xml:space="preserve"> of capstone</w:t>
      </w:r>
      <w:r w:rsidR="00BE2504">
        <w:t xml:space="preserve"> units</w:t>
      </w:r>
      <w:r w:rsidR="00460ACA">
        <w:t xml:space="preserve"> (</w:t>
      </w:r>
      <w:r w:rsidR="00BE2504">
        <w:t>or subject</w:t>
      </w:r>
      <w:r w:rsidR="00A57730">
        <w:t>s</w:t>
      </w:r>
      <w:r w:rsidR="00460ACA">
        <w:t>)</w:t>
      </w:r>
      <w:r w:rsidR="008E4D82">
        <w:t xml:space="preserve"> o</w:t>
      </w:r>
      <w:r w:rsidR="000B3E37">
        <w:t xml:space="preserve">ffered in </w:t>
      </w:r>
      <w:r w:rsidR="00E11780">
        <w:t>JoMeC-related</w:t>
      </w:r>
      <w:r w:rsidR="000B3E37">
        <w:t xml:space="preserve"> degrees. This </w:t>
      </w:r>
      <w:r w:rsidR="00E11780">
        <w:t xml:space="preserve">audit </w:t>
      </w:r>
      <w:r w:rsidR="00DF74EC">
        <w:t>revealed a</w:t>
      </w:r>
      <w:r w:rsidR="000B3E37">
        <w:t xml:space="preserve"> diversity of degree t</w:t>
      </w:r>
      <w:r w:rsidR="009E0279">
        <w:t xml:space="preserve">itles, disciplinary foci, </w:t>
      </w:r>
      <w:r w:rsidR="000B3E37">
        <w:t xml:space="preserve">projected career outcomes </w:t>
      </w:r>
      <w:r w:rsidR="009E0279">
        <w:t>a</w:t>
      </w:r>
      <w:r w:rsidR="00460ACA">
        <w:t>nd</w:t>
      </w:r>
      <w:r w:rsidR="009E0279">
        <w:t xml:space="preserve"> pedagogical styles</w:t>
      </w:r>
      <w:r w:rsidR="001F708F">
        <w:t xml:space="preserve"> </w:t>
      </w:r>
      <w:r w:rsidR="00C2070C">
        <w:t>i</w:t>
      </w:r>
      <w:r w:rsidR="008F2D49">
        <w:t xml:space="preserve">n </w:t>
      </w:r>
      <w:r w:rsidR="001F708F">
        <w:t>the 36</w:t>
      </w:r>
      <w:r w:rsidR="00E11780">
        <w:t xml:space="preserve"> universities that offer</w:t>
      </w:r>
      <w:r w:rsidR="001F708F">
        <w:t>ed JoMeC-</w:t>
      </w:r>
      <w:r w:rsidR="00E11780">
        <w:t>related degrees</w:t>
      </w:r>
      <w:r w:rsidR="001F708F">
        <w:t xml:space="preserve"> </w:t>
      </w:r>
      <w:r w:rsidR="00F83DE9">
        <w:t>in 2012</w:t>
      </w:r>
      <w:r w:rsidR="00593AED">
        <w:t xml:space="preserve">, </w:t>
      </w:r>
      <w:r w:rsidR="002069F9">
        <w:t>highlight</w:t>
      </w:r>
      <w:r w:rsidR="00593AED">
        <w:t>ing</w:t>
      </w:r>
      <w:r w:rsidR="002069F9">
        <w:t xml:space="preserve"> the</w:t>
      </w:r>
      <w:r w:rsidR="00C2070C">
        <w:t xml:space="preserve"> </w:t>
      </w:r>
      <w:r w:rsidR="000B3E37">
        <w:t xml:space="preserve">difficulties of </w:t>
      </w:r>
      <w:r w:rsidR="003574C9">
        <w:t>classify</w:t>
      </w:r>
      <w:r w:rsidR="009F7F91">
        <w:t>ing</w:t>
      </w:r>
      <w:r w:rsidR="003574C9">
        <w:t xml:space="preserve"> </w:t>
      </w:r>
      <w:r w:rsidR="009E0279">
        <w:t>the JoMeC</w:t>
      </w:r>
      <w:r w:rsidR="000B3E37">
        <w:t xml:space="preserve"> discipline</w:t>
      </w:r>
      <w:r w:rsidR="003574C9">
        <w:t>s</w:t>
      </w:r>
      <w:r w:rsidR="009E0279">
        <w:t xml:space="preserve"> collectively or singularly</w:t>
      </w:r>
      <w:r w:rsidR="000B3E37">
        <w:t>.</w:t>
      </w:r>
      <w:r w:rsidR="00BE7A7F">
        <w:t xml:space="preserve"> </w:t>
      </w:r>
      <w:r w:rsidR="000B3E37">
        <w:t>Instead</w:t>
      </w:r>
      <w:r w:rsidR="002069F9">
        <w:t xml:space="preserve"> of attempting to map all disciplin</w:t>
      </w:r>
      <w:r w:rsidR="003574C9">
        <w:t>es related to journalism, media</w:t>
      </w:r>
      <w:r>
        <w:t xml:space="preserve"> </w:t>
      </w:r>
      <w:r w:rsidR="002069F9">
        <w:t>and communication</w:t>
      </w:r>
      <w:r w:rsidR="000B3E37">
        <w:t xml:space="preserve">, </w:t>
      </w:r>
      <w:r w:rsidR="00DF74EC">
        <w:t>the project team</w:t>
      </w:r>
      <w:r w:rsidR="000B5342">
        <w:t xml:space="preserve"> opted to create </w:t>
      </w:r>
      <w:r w:rsidR="000B3E37">
        <w:t xml:space="preserve">generalised </w:t>
      </w:r>
      <w:r w:rsidR="000B5342">
        <w:t>TLOs for the</w:t>
      </w:r>
      <w:r w:rsidR="009F7F91">
        <w:t>se</w:t>
      </w:r>
      <w:r w:rsidR="00593AED">
        <w:t xml:space="preserve"> fields</w:t>
      </w:r>
      <w:r w:rsidR="00F83DE9">
        <w:t>, coupled</w:t>
      </w:r>
      <w:r w:rsidR="00593AED">
        <w:t xml:space="preserve"> w</w:t>
      </w:r>
      <w:r w:rsidR="000B3E37">
        <w:t xml:space="preserve">ith </w:t>
      </w:r>
      <w:r w:rsidR="000B5342">
        <w:t>detailed</w:t>
      </w:r>
      <w:r w:rsidR="000B3E37">
        <w:t xml:space="preserve"> </w:t>
      </w:r>
      <w:r w:rsidR="003574C9">
        <w:t>TLOs for</w:t>
      </w:r>
      <w:r w:rsidR="009F7F91">
        <w:t xml:space="preserve"> </w:t>
      </w:r>
      <w:r w:rsidR="00642881">
        <w:t>bachelor-level qualifications in</w:t>
      </w:r>
      <w:r w:rsidR="00C52E0C">
        <w:t xml:space="preserve"> </w:t>
      </w:r>
      <w:r w:rsidR="00593AED">
        <w:t xml:space="preserve">three selected </w:t>
      </w:r>
      <w:r w:rsidR="00642881">
        <w:t xml:space="preserve">JoMeC </w:t>
      </w:r>
      <w:r w:rsidR="00593AED">
        <w:t>disciplines</w:t>
      </w:r>
      <w:r w:rsidR="009F7F91">
        <w:t>:</w:t>
      </w:r>
      <w:r w:rsidR="00383AFE">
        <w:t xml:space="preserve"> </w:t>
      </w:r>
      <w:r>
        <w:t xml:space="preserve">Journalism, </w:t>
      </w:r>
      <w:r w:rsidR="004179A0">
        <w:t>Communication and/or Media Studies, and Public Relations</w:t>
      </w:r>
      <w:r w:rsidR="000B3E37">
        <w:t>.</w:t>
      </w:r>
    </w:p>
    <w:p w:rsidR="003574C9" w:rsidRDefault="003574C9" w:rsidP="003574C9"/>
    <w:p w:rsidR="007F0669" w:rsidRDefault="00593AED" w:rsidP="007B4293">
      <w:r>
        <w:t xml:space="preserve">The </w:t>
      </w:r>
      <w:r w:rsidR="00383AFE">
        <w:t>initial</w:t>
      </w:r>
      <w:r w:rsidR="007D0751">
        <w:t xml:space="preserve"> review</w:t>
      </w:r>
      <w:r>
        <w:t>’s outcomes</w:t>
      </w:r>
      <w:r w:rsidR="007D0751">
        <w:t xml:space="preserve"> shaped the methodology </w:t>
      </w:r>
      <w:r w:rsidR="0060489E">
        <w:t xml:space="preserve">that was </w:t>
      </w:r>
      <w:r w:rsidR="00F83DE9">
        <w:t>us</w:t>
      </w:r>
      <w:r w:rsidR="007D0751">
        <w:t xml:space="preserve">ed to develop the TLOs. </w:t>
      </w:r>
      <w:r w:rsidR="0082784E">
        <w:t>Given the comp</w:t>
      </w:r>
      <w:r w:rsidR="009E2A9B">
        <w:t>lexity of the JoMeC disciplines</w:t>
      </w:r>
      <w:r w:rsidR="0082784E">
        <w:t xml:space="preserve"> and </w:t>
      </w:r>
      <w:r>
        <w:t xml:space="preserve">the </w:t>
      </w:r>
      <w:r w:rsidR="0082784E">
        <w:t>diversity of degrees</w:t>
      </w:r>
      <w:r w:rsidR="002A3A4A">
        <w:t xml:space="preserve"> across the network, the project</w:t>
      </w:r>
      <w:r w:rsidR="0082784E">
        <w:t xml:space="preserve"> team deployed </w:t>
      </w:r>
      <w:r w:rsidR="0014064D">
        <w:t xml:space="preserve">an </w:t>
      </w:r>
      <w:r w:rsidR="007D0751">
        <w:t>issue</w:t>
      </w:r>
      <w:r w:rsidR="00CC17CB">
        <w:t>-</w:t>
      </w:r>
      <w:r w:rsidR="007D0751">
        <w:t>framing</w:t>
      </w:r>
      <w:r w:rsidR="007B4293">
        <w:t xml:space="preserve"> process</w:t>
      </w:r>
      <w:r w:rsidR="00BC6A2A">
        <w:rPr>
          <w:rStyle w:val="FootnoteReference"/>
        </w:rPr>
        <w:footnoteReference w:id="1"/>
      </w:r>
      <w:r w:rsidR="007D0751">
        <w:t xml:space="preserve"> </w:t>
      </w:r>
      <w:r w:rsidR="0082784E">
        <w:t xml:space="preserve">to </w:t>
      </w:r>
      <w:r w:rsidR="00BE1406">
        <w:t>create</w:t>
      </w:r>
      <w:r w:rsidR="0082784E">
        <w:t xml:space="preserve"> TLO</w:t>
      </w:r>
      <w:r w:rsidR="0052456E">
        <w:t xml:space="preserve"> </w:t>
      </w:r>
      <w:r w:rsidR="0082784E">
        <w:t>s</w:t>
      </w:r>
      <w:r w:rsidR="0052456E">
        <w:t>tatements</w:t>
      </w:r>
      <w:r w:rsidR="0082784E">
        <w:t>. This involved</w:t>
      </w:r>
      <w:r w:rsidR="007D0751">
        <w:t xml:space="preserve"> several phases</w:t>
      </w:r>
      <w:r w:rsidR="00CC17CB">
        <w:t>, including</w:t>
      </w:r>
      <w:r w:rsidR="007D0751">
        <w:t xml:space="preserve"> discussion</w:t>
      </w:r>
      <w:r w:rsidR="00CC17CB">
        <w:t>s</w:t>
      </w:r>
      <w:r w:rsidR="007D0751">
        <w:t xml:space="preserve"> with an issue</w:t>
      </w:r>
      <w:r w:rsidR="00CC17CB">
        <w:t>-</w:t>
      </w:r>
      <w:r w:rsidR="007D0751">
        <w:t>framing team (</w:t>
      </w:r>
      <w:r w:rsidR="002069F9">
        <w:t>an</w:t>
      </w:r>
      <w:r w:rsidR="007D0751">
        <w:t xml:space="preserve"> advisory group </w:t>
      </w:r>
      <w:r>
        <w:t xml:space="preserve">of representatives from </w:t>
      </w:r>
      <w:r w:rsidR="007D0751">
        <w:t>different disciplinary areas)</w:t>
      </w:r>
      <w:r w:rsidR="00CC17CB">
        <w:t>;</w:t>
      </w:r>
      <w:r w:rsidR="007D0751">
        <w:t xml:space="preserve"> research </w:t>
      </w:r>
      <w:r w:rsidR="007F3DB9">
        <w:t xml:space="preserve">into </w:t>
      </w:r>
      <w:r w:rsidR="007D0751">
        <w:t xml:space="preserve">accreditation </w:t>
      </w:r>
      <w:r w:rsidR="003F4E12">
        <w:t xml:space="preserve">requirements and industry-produced </w:t>
      </w:r>
      <w:r w:rsidR="007D0751">
        <w:t>materials</w:t>
      </w:r>
      <w:r>
        <w:t xml:space="preserve"> about</w:t>
      </w:r>
      <w:r w:rsidR="003F4E12">
        <w:t xml:space="preserve"> employment expectations</w:t>
      </w:r>
      <w:r w:rsidR="00BF6307">
        <w:t>;</w:t>
      </w:r>
      <w:r w:rsidR="007D0751">
        <w:t xml:space="preserve"> </w:t>
      </w:r>
      <w:r w:rsidR="009E0279">
        <w:t xml:space="preserve">evaluation of </w:t>
      </w:r>
      <w:r w:rsidR="007D0751">
        <w:t>learning outcomes from universities</w:t>
      </w:r>
      <w:r w:rsidR="009E0279">
        <w:t xml:space="preserve"> across Australia</w:t>
      </w:r>
      <w:r w:rsidR="007F3DB9">
        <w:t>;</w:t>
      </w:r>
      <w:r w:rsidR="007D0751">
        <w:t xml:space="preserve"> review</w:t>
      </w:r>
      <w:r w:rsidR="00E75355">
        <w:t>s</w:t>
      </w:r>
      <w:r w:rsidR="007D0751">
        <w:t xml:space="preserve"> of scholarly literature</w:t>
      </w:r>
      <w:r w:rsidR="00E75355">
        <w:t>; as well as</w:t>
      </w:r>
      <w:r w:rsidR="007F3DB9">
        <w:t xml:space="preserve"> input</w:t>
      </w:r>
      <w:r w:rsidR="007D0751">
        <w:t xml:space="preserve"> from disciplinary leaders in a variety of for</w:t>
      </w:r>
      <w:r w:rsidR="003F4E12">
        <w:t>ms</w:t>
      </w:r>
      <w:r w:rsidR="00BE1406">
        <w:t>. Draft</w:t>
      </w:r>
      <w:r w:rsidR="007D0751">
        <w:t xml:space="preserve"> TLOs were refined after further consultation with industry stakeholders and the academic community via email, telephone interview</w:t>
      </w:r>
      <w:r w:rsidR="00BF6307">
        <w:t>s, a</w:t>
      </w:r>
      <w:r w:rsidR="007D0751">
        <w:t xml:space="preserve">nd </w:t>
      </w:r>
      <w:r w:rsidR="00E75355">
        <w:t xml:space="preserve">meetings and </w:t>
      </w:r>
      <w:r w:rsidR="007D0751">
        <w:t xml:space="preserve">public </w:t>
      </w:r>
      <w:r w:rsidR="00A7150C">
        <w:t xml:space="preserve">forums </w:t>
      </w:r>
      <w:r w:rsidR="007D0751">
        <w:t xml:space="preserve">at conferences. </w:t>
      </w:r>
    </w:p>
    <w:p w:rsidR="003574C9" w:rsidRDefault="003574C9" w:rsidP="003574C9"/>
    <w:p w:rsidR="00386CA5" w:rsidRDefault="00094022" w:rsidP="00642881">
      <w:r>
        <w:t>This process</w:t>
      </w:r>
      <w:r w:rsidR="007D0751">
        <w:t xml:space="preserve"> </w:t>
      </w:r>
      <w:r w:rsidR="00C2070C">
        <w:t>was used to create a</w:t>
      </w:r>
      <w:r w:rsidR="007D0751">
        <w:t xml:space="preserve"> </w:t>
      </w:r>
      <w:r w:rsidR="009E0279">
        <w:t xml:space="preserve">set of common </w:t>
      </w:r>
      <w:r w:rsidR="00A2463D">
        <w:t xml:space="preserve">TLOs for </w:t>
      </w:r>
      <w:r w:rsidR="00C2070C">
        <w:t xml:space="preserve">JoMeC </w:t>
      </w:r>
      <w:r w:rsidR="00A2463D">
        <w:t>disciplines</w:t>
      </w:r>
      <w:r w:rsidR="009E0279">
        <w:t xml:space="preserve"> </w:t>
      </w:r>
      <w:r w:rsidR="00402930">
        <w:t xml:space="preserve">in general </w:t>
      </w:r>
      <w:r w:rsidR="009E0279">
        <w:t xml:space="preserve">and </w:t>
      </w:r>
      <w:r w:rsidR="00FB03FD">
        <w:t xml:space="preserve">extended </w:t>
      </w:r>
      <w:r w:rsidR="00A2463D">
        <w:t xml:space="preserve">TLO </w:t>
      </w:r>
      <w:r w:rsidR="007D0751">
        <w:t>statement</w:t>
      </w:r>
      <w:r w:rsidR="009E0279">
        <w:t>s</w:t>
      </w:r>
      <w:r w:rsidR="007D0751">
        <w:t xml:space="preserve"> </w:t>
      </w:r>
      <w:r w:rsidR="00C2070C">
        <w:t>for</w:t>
      </w:r>
      <w:r w:rsidR="007D0751">
        <w:t xml:space="preserve"> </w:t>
      </w:r>
      <w:r w:rsidR="007D3955">
        <w:t xml:space="preserve">the specific disciplines of </w:t>
      </w:r>
      <w:r w:rsidR="007D0751">
        <w:t xml:space="preserve">Journalism and Public Relations. </w:t>
      </w:r>
      <w:r w:rsidR="00F6001A">
        <w:t>A</w:t>
      </w:r>
      <w:r w:rsidR="007D0751">
        <w:t xml:space="preserve"> </w:t>
      </w:r>
      <w:r w:rsidR="00383AFE">
        <w:t xml:space="preserve">TLO </w:t>
      </w:r>
      <w:r w:rsidR="007D0751">
        <w:t xml:space="preserve">statement </w:t>
      </w:r>
      <w:r w:rsidR="00383AFE">
        <w:t>for</w:t>
      </w:r>
      <w:r w:rsidR="007D0751">
        <w:t xml:space="preserve"> </w:t>
      </w:r>
      <w:r w:rsidR="00BF6307">
        <w:t xml:space="preserve">Communication and/or </w:t>
      </w:r>
      <w:r w:rsidR="007D0751">
        <w:t>Media Studies</w:t>
      </w:r>
      <w:r w:rsidR="00383AFE">
        <w:t xml:space="preserve"> </w:t>
      </w:r>
      <w:r w:rsidR="007D0751">
        <w:t>remains</w:t>
      </w:r>
      <w:r w:rsidR="006A1E6B">
        <w:t xml:space="preserve"> in draft form</w:t>
      </w:r>
      <w:r w:rsidR="00C52E0C">
        <w:t xml:space="preserve">. </w:t>
      </w:r>
    </w:p>
    <w:p w:rsidR="00386CA5" w:rsidRDefault="00386CA5" w:rsidP="00642881"/>
    <w:p w:rsidR="00386CA5" w:rsidRDefault="00386CA5" w:rsidP="00642881"/>
    <w:p w:rsidR="003574C9" w:rsidRDefault="00C52E0C" w:rsidP="00642881">
      <w:r>
        <w:lastRenderedPageBreak/>
        <w:t>The</w:t>
      </w:r>
      <w:r w:rsidR="007F0669" w:rsidRPr="007F0669">
        <w:t xml:space="preserve"> A</w:t>
      </w:r>
      <w:r>
        <w:t xml:space="preserve">ustralian and </w:t>
      </w:r>
      <w:r w:rsidR="007F0669" w:rsidRPr="007F0669">
        <w:t>N</w:t>
      </w:r>
      <w:r>
        <w:t xml:space="preserve">ew </w:t>
      </w:r>
      <w:r w:rsidR="007F0669" w:rsidRPr="007F0669">
        <w:t>Z</w:t>
      </w:r>
      <w:r>
        <w:t xml:space="preserve">ealand </w:t>
      </w:r>
      <w:r w:rsidR="007F0669" w:rsidRPr="007F0669">
        <w:t>C</w:t>
      </w:r>
      <w:r>
        <w:t xml:space="preserve">ommunication </w:t>
      </w:r>
      <w:r w:rsidRPr="007F0669">
        <w:t>A</w:t>
      </w:r>
      <w:r>
        <w:t xml:space="preserve">ssociation </w:t>
      </w:r>
      <w:r w:rsidR="00FB03FD">
        <w:t xml:space="preserve">(ANZCA) </w:t>
      </w:r>
      <w:r w:rsidR="00642881">
        <w:t xml:space="preserve">and </w:t>
      </w:r>
      <w:r w:rsidR="00642881" w:rsidRPr="007F0669">
        <w:t>J</w:t>
      </w:r>
      <w:r w:rsidR="00642881">
        <w:t xml:space="preserve">ournalism </w:t>
      </w:r>
      <w:r w:rsidR="00642881" w:rsidRPr="007F0669">
        <w:t>E</w:t>
      </w:r>
      <w:r w:rsidR="00642881">
        <w:t xml:space="preserve">ducation and Research </w:t>
      </w:r>
      <w:r w:rsidR="00642881" w:rsidRPr="007F0669">
        <w:t>A</w:t>
      </w:r>
      <w:r w:rsidR="00642881">
        <w:t xml:space="preserve">ssociation of </w:t>
      </w:r>
      <w:r w:rsidR="00642881" w:rsidRPr="007F0669">
        <w:t>A</w:t>
      </w:r>
      <w:r w:rsidR="00642881">
        <w:t>ustralian (JERAA)</w:t>
      </w:r>
      <w:r w:rsidR="00642881" w:rsidRPr="007F0669">
        <w:t xml:space="preserve"> </w:t>
      </w:r>
      <w:r w:rsidR="00F8543D">
        <w:t>have agreed to</w:t>
      </w:r>
      <w:r>
        <w:t xml:space="preserve"> host</w:t>
      </w:r>
      <w:r w:rsidR="007F0669" w:rsidRPr="007F0669">
        <w:t xml:space="preserve"> meetings to review</w:t>
      </w:r>
      <w:r w:rsidR="00C2070C">
        <w:t>, revise and further develop the TLOs</w:t>
      </w:r>
      <w:r>
        <w:t xml:space="preserve">. </w:t>
      </w:r>
      <w:r w:rsidR="00456F44">
        <w:t>ANZCA</w:t>
      </w:r>
      <w:r>
        <w:t xml:space="preserve"> </w:t>
      </w:r>
      <w:r w:rsidR="00642881">
        <w:t xml:space="preserve">and JERAA </w:t>
      </w:r>
      <w:r w:rsidR="00A2463D">
        <w:t>will</w:t>
      </w:r>
      <w:r>
        <w:t xml:space="preserve"> </w:t>
      </w:r>
      <w:r w:rsidR="00642881">
        <w:t xml:space="preserve">oversee the </w:t>
      </w:r>
      <w:r w:rsidR="00216ABE">
        <w:t>manage</w:t>
      </w:r>
      <w:r w:rsidR="00642881">
        <w:t>ment</w:t>
      </w:r>
      <w:r w:rsidR="00460ACA">
        <w:t xml:space="preserve"> and </w:t>
      </w:r>
      <w:r w:rsidR="00216ABE">
        <w:t xml:space="preserve">review </w:t>
      </w:r>
      <w:r w:rsidR="00642881">
        <w:t>of</w:t>
      </w:r>
      <w:r w:rsidR="00216ABE">
        <w:t xml:space="preserve"> TLOs</w:t>
      </w:r>
      <w:r w:rsidR="00974103">
        <w:t xml:space="preserve"> as</w:t>
      </w:r>
      <w:r w:rsidR="00B837B9">
        <w:t xml:space="preserve"> well as</w:t>
      </w:r>
      <w:r w:rsidR="00A2463D">
        <w:t xml:space="preserve"> </w:t>
      </w:r>
      <w:r w:rsidR="00456F44">
        <w:t xml:space="preserve">curate </w:t>
      </w:r>
      <w:r w:rsidR="00BF6307">
        <w:t xml:space="preserve">and promote </w:t>
      </w:r>
      <w:r>
        <w:t xml:space="preserve">the </w:t>
      </w:r>
      <w:r w:rsidR="00F6001A">
        <w:t>Network</w:t>
      </w:r>
      <w:r w:rsidR="00642881">
        <w:t>’s</w:t>
      </w:r>
      <w:r w:rsidR="00F6001A">
        <w:t xml:space="preserve"> </w:t>
      </w:r>
      <w:r>
        <w:t>web</w:t>
      </w:r>
      <w:r w:rsidR="00460ACA">
        <w:t xml:space="preserve"> pages</w:t>
      </w:r>
      <w:r>
        <w:t xml:space="preserve"> and</w:t>
      </w:r>
      <w:r w:rsidR="007F0669" w:rsidRPr="007F0669">
        <w:t xml:space="preserve"> </w:t>
      </w:r>
      <w:r w:rsidR="00B837B9">
        <w:t xml:space="preserve">resources hub. This will </w:t>
      </w:r>
      <w:r>
        <w:t>ensur</w:t>
      </w:r>
      <w:r w:rsidR="00270717">
        <w:t>e</w:t>
      </w:r>
      <w:r>
        <w:t xml:space="preserve"> the </w:t>
      </w:r>
      <w:r w:rsidR="00642881">
        <w:t xml:space="preserve">JoMeC </w:t>
      </w:r>
      <w:r w:rsidR="00A7150C">
        <w:t>N</w:t>
      </w:r>
      <w:r w:rsidR="00456F44">
        <w:t>etwork</w:t>
      </w:r>
      <w:r w:rsidR="00216ABE">
        <w:t>’s sustainability</w:t>
      </w:r>
      <w:r w:rsidR="00456F44">
        <w:t xml:space="preserve"> </w:t>
      </w:r>
      <w:r w:rsidR="00216ABE">
        <w:t>and the TLOs</w:t>
      </w:r>
      <w:r w:rsidR="009F7F91">
        <w:t>’</w:t>
      </w:r>
      <w:r w:rsidR="00216ABE">
        <w:t xml:space="preserve"> </w:t>
      </w:r>
      <w:r w:rsidR="007F0669" w:rsidRPr="007F0669">
        <w:t xml:space="preserve">future development </w:t>
      </w:r>
      <w:r w:rsidR="007F0669">
        <w:t>and use</w:t>
      </w:r>
      <w:r w:rsidR="007F0669" w:rsidRPr="007F0669">
        <w:t>.</w:t>
      </w:r>
      <w:r w:rsidR="007F0669">
        <w:t xml:space="preserve"> </w:t>
      </w:r>
      <w:r w:rsidR="00A2463D">
        <w:t xml:space="preserve">Despite </w:t>
      </w:r>
      <w:r w:rsidR="00E15015">
        <w:t xml:space="preserve">multiple </w:t>
      </w:r>
      <w:r w:rsidR="00E27A19">
        <w:t xml:space="preserve">challenges, the project </w:t>
      </w:r>
      <w:r w:rsidR="00C2070C">
        <w:t xml:space="preserve">achieved </w:t>
      </w:r>
      <w:r w:rsidR="00E27A19">
        <w:t xml:space="preserve">significant </w:t>
      </w:r>
      <w:r w:rsidR="00BE7A7F">
        <w:t>outcomes</w:t>
      </w:r>
      <w:r w:rsidR="007F3DB9">
        <w:t>, listed below</w:t>
      </w:r>
      <w:r w:rsidR="00216ABE">
        <w:t>.</w:t>
      </w:r>
    </w:p>
    <w:p w:rsidR="003574C9" w:rsidRDefault="003574C9" w:rsidP="003574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52"/>
      </w:tblGrid>
      <w:tr w:rsidR="00883984" w:rsidTr="00345474">
        <w:tc>
          <w:tcPr>
            <w:tcW w:w="4928" w:type="dxa"/>
            <w:shd w:val="clear" w:color="auto" w:fill="auto"/>
          </w:tcPr>
          <w:p w:rsidR="00883984" w:rsidRPr="00270717" w:rsidRDefault="0017038C" w:rsidP="002A03C8">
            <w:pPr>
              <w:rPr>
                <w:b/>
                <w:sz w:val="22"/>
              </w:rPr>
            </w:pPr>
            <w:r>
              <w:rPr>
                <w:b/>
                <w:sz w:val="22"/>
              </w:rPr>
              <w:t>D</w:t>
            </w:r>
            <w:r w:rsidR="00883984" w:rsidRPr="00270717">
              <w:rPr>
                <w:b/>
                <w:sz w:val="22"/>
              </w:rPr>
              <w:t xml:space="preserve">eliverables </w:t>
            </w:r>
          </w:p>
        </w:tc>
        <w:tc>
          <w:tcPr>
            <w:tcW w:w="4252" w:type="dxa"/>
            <w:shd w:val="clear" w:color="auto" w:fill="auto"/>
          </w:tcPr>
          <w:p w:rsidR="00883984" w:rsidRPr="00270717" w:rsidRDefault="00883984" w:rsidP="002A03C8">
            <w:pPr>
              <w:rPr>
                <w:b/>
                <w:sz w:val="22"/>
              </w:rPr>
            </w:pPr>
            <w:r w:rsidRPr="00270717">
              <w:rPr>
                <w:b/>
                <w:sz w:val="22"/>
              </w:rPr>
              <w:t xml:space="preserve">Where they can be found </w:t>
            </w:r>
          </w:p>
        </w:tc>
      </w:tr>
      <w:tr w:rsidR="00883984" w:rsidTr="00345474">
        <w:tc>
          <w:tcPr>
            <w:tcW w:w="4928" w:type="dxa"/>
            <w:shd w:val="clear" w:color="auto" w:fill="auto"/>
          </w:tcPr>
          <w:p w:rsidR="00883984" w:rsidRPr="00270717" w:rsidRDefault="00270717" w:rsidP="002A03C8">
            <w:pPr>
              <w:rPr>
                <w:sz w:val="22"/>
              </w:rPr>
            </w:pPr>
            <w:r w:rsidRPr="00270717">
              <w:rPr>
                <w:sz w:val="22"/>
              </w:rPr>
              <w:t>TLOs for Journalism and</w:t>
            </w:r>
            <w:r w:rsidR="00E27A19" w:rsidRPr="00270717">
              <w:rPr>
                <w:sz w:val="22"/>
              </w:rPr>
              <w:t xml:space="preserve"> Public Relations </w:t>
            </w:r>
          </w:p>
          <w:p w:rsidR="00270717" w:rsidRPr="00270717" w:rsidRDefault="00270717" w:rsidP="002A03C8">
            <w:pPr>
              <w:rPr>
                <w:sz w:val="22"/>
              </w:rPr>
            </w:pPr>
            <w:r w:rsidRPr="00270717">
              <w:rPr>
                <w:sz w:val="22"/>
              </w:rPr>
              <w:t>Draft TLOs for Communication</w:t>
            </w:r>
            <w:r w:rsidR="00345474">
              <w:rPr>
                <w:sz w:val="22"/>
              </w:rPr>
              <w:t xml:space="preserve"> and</w:t>
            </w:r>
            <w:r w:rsidRPr="00270717">
              <w:rPr>
                <w:sz w:val="22"/>
              </w:rPr>
              <w:t>/</w:t>
            </w:r>
            <w:r w:rsidR="00345474">
              <w:rPr>
                <w:sz w:val="22"/>
              </w:rPr>
              <w:t xml:space="preserve">or </w:t>
            </w:r>
            <w:r w:rsidRPr="00270717">
              <w:rPr>
                <w:sz w:val="22"/>
              </w:rPr>
              <w:t>Media Studies</w:t>
            </w:r>
          </w:p>
        </w:tc>
        <w:tc>
          <w:tcPr>
            <w:tcW w:w="4252" w:type="dxa"/>
            <w:shd w:val="clear" w:color="auto" w:fill="auto"/>
          </w:tcPr>
          <w:p w:rsidR="00883984" w:rsidRPr="00270717" w:rsidRDefault="008A172D" w:rsidP="00EC4E8B">
            <w:pPr>
              <w:rPr>
                <w:sz w:val="22"/>
              </w:rPr>
            </w:pPr>
            <w:r w:rsidRPr="00270717">
              <w:rPr>
                <w:sz w:val="22"/>
              </w:rPr>
              <w:t>&lt;www.</w:t>
            </w:r>
            <w:r w:rsidR="00E27A19" w:rsidRPr="00270717">
              <w:rPr>
                <w:sz w:val="22"/>
              </w:rPr>
              <w:t>je</w:t>
            </w:r>
            <w:r w:rsidR="008C36DC">
              <w:rPr>
                <w:sz w:val="22"/>
              </w:rPr>
              <w:t>r</w:t>
            </w:r>
            <w:r w:rsidR="00E27A19" w:rsidRPr="00270717">
              <w:rPr>
                <w:sz w:val="22"/>
              </w:rPr>
              <w:t>aa.org.au/research/218&gt;</w:t>
            </w:r>
            <w:r w:rsidR="00345474">
              <w:rPr>
                <w:sz w:val="22"/>
              </w:rPr>
              <w:t xml:space="preserve"> and</w:t>
            </w:r>
          </w:p>
          <w:p w:rsidR="00E27A19" w:rsidRPr="00270717" w:rsidRDefault="00E27A19" w:rsidP="002A03C8">
            <w:pPr>
              <w:rPr>
                <w:sz w:val="22"/>
              </w:rPr>
            </w:pPr>
            <w:r w:rsidRPr="00270717">
              <w:rPr>
                <w:sz w:val="22"/>
              </w:rPr>
              <w:t>&lt;www.anzca.net/announcements.html&gt;</w:t>
            </w:r>
          </w:p>
        </w:tc>
      </w:tr>
      <w:tr w:rsidR="00883984" w:rsidTr="00345474">
        <w:tc>
          <w:tcPr>
            <w:tcW w:w="4928" w:type="dxa"/>
            <w:shd w:val="clear" w:color="auto" w:fill="auto"/>
          </w:tcPr>
          <w:p w:rsidR="00883984" w:rsidRPr="00270717" w:rsidRDefault="007E00C2" w:rsidP="002A03C8">
            <w:pPr>
              <w:rPr>
                <w:sz w:val="22"/>
              </w:rPr>
            </w:pPr>
            <w:r w:rsidRPr="00270717">
              <w:rPr>
                <w:sz w:val="22"/>
              </w:rPr>
              <w:t xml:space="preserve">Formulation of Discipline Networks </w:t>
            </w:r>
          </w:p>
        </w:tc>
        <w:tc>
          <w:tcPr>
            <w:tcW w:w="4252" w:type="dxa"/>
            <w:shd w:val="clear" w:color="auto" w:fill="auto"/>
          </w:tcPr>
          <w:p w:rsidR="00883984" w:rsidRPr="00270717" w:rsidRDefault="007E00C2" w:rsidP="002A03C8">
            <w:pPr>
              <w:rPr>
                <w:sz w:val="22"/>
              </w:rPr>
            </w:pPr>
            <w:r w:rsidRPr="00270717">
              <w:rPr>
                <w:sz w:val="22"/>
              </w:rPr>
              <w:t xml:space="preserve">See </w:t>
            </w:r>
            <w:r w:rsidR="000B5342">
              <w:rPr>
                <w:sz w:val="22"/>
              </w:rPr>
              <w:t>‘</w:t>
            </w:r>
            <w:r w:rsidR="007C66E3">
              <w:rPr>
                <w:sz w:val="22"/>
              </w:rPr>
              <w:t>Building a sustainable network</w:t>
            </w:r>
            <w:r w:rsidR="000B5342">
              <w:rPr>
                <w:sz w:val="22"/>
              </w:rPr>
              <w:t>’ below</w:t>
            </w:r>
          </w:p>
        </w:tc>
      </w:tr>
      <w:tr w:rsidR="00883984" w:rsidTr="00345474">
        <w:tc>
          <w:tcPr>
            <w:tcW w:w="4928" w:type="dxa"/>
            <w:shd w:val="clear" w:color="auto" w:fill="auto"/>
          </w:tcPr>
          <w:p w:rsidR="007E00C2" w:rsidRPr="00270717" w:rsidRDefault="007E00C2" w:rsidP="00DF74EC">
            <w:pPr>
              <w:rPr>
                <w:sz w:val="22"/>
              </w:rPr>
            </w:pPr>
            <w:r w:rsidRPr="00270717">
              <w:rPr>
                <w:sz w:val="22"/>
              </w:rPr>
              <w:t xml:space="preserve">Resource Hub </w:t>
            </w:r>
          </w:p>
        </w:tc>
        <w:tc>
          <w:tcPr>
            <w:tcW w:w="4252" w:type="dxa"/>
            <w:shd w:val="clear" w:color="auto" w:fill="auto"/>
          </w:tcPr>
          <w:p w:rsidR="00883984" w:rsidRPr="00270717" w:rsidRDefault="008A172D" w:rsidP="00EC4E8B">
            <w:pPr>
              <w:rPr>
                <w:sz w:val="22"/>
              </w:rPr>
            </w:pPr>
            <w:r w:rsidRPr="00270717">
              <w:rPr>
                <w:sz w:val="22"/>
              </w:rPr>
              <w:t>&lt;www.</w:t>
            </w:r>
            <w:r w:rsidR="008C36DC">
              <w:rPr>
                <w:sz w:val="22"/>
              </w:rPr>
              <w:t>j</w:t>
            </w:r>
            <w:r w:rsidR="00440E3B" w:rsidRPr="00270717">
              <w:rPr>
                <w:sz w:val="22"/>
              </w:rPr>
              <w:t>e</w:t>
            </w:r>
            <w:r w:rsidR="008C36DC">
              <w:rPr>
                <w:sz w:val="22"/>
              </w:rPr>
              <w:t>r</w:t>
            </w:r>
            <w:r w:rsidR="00440E3B" w:rsidRPr="00270717">
              <w:rPr>
                <w:sz w:val="22"/>
              </w:rPr>
              <w:t>aa.org.au/research/21</w:t>
            </w:r>
            <w:r w:rsidR="007E00C2" w:rsidRPr="00270717">
              <w:rPr>
                <w:sz w:val="22"/>
              </w:rPr>
              <w:t>8&gt;</w:t>
            </w:r>
          </w:p>
        </w:tc>
      </w:tr>
      <w:tr w:rsidR="005374C3" w:rsidTr="0084756F">
        <w:tc>
          <w:tcPr>
            <w:tcW w:w="4928" w:type="dxa"/>
            <w:tcBorders>
              <w:bottom w:val="single" w:sz="4" w:space="0" w:color="auto"/>
            </w:tcBorders>
            <w:shd w:val="clear" w:color="auto" w:fill="auto"/>
          </w:tcPr>
          <w:p w:rsidR="0084756F" w:rsidRPr="00270717" w:rsidRDefault="005374C3" w:rsidP="00DF74EC">
            <w:pPr>
              <w:rPr>
                <w:sz w:val="22"/>
              </w:rPr>
            </w:pPr>
            <w:r w:rsidRPr="00270717">
              <w:rPr>
                <w:sz w:val="22"/>
              </w:rPr>
              <w:t xml:space="preserve">Conference presentations </w:t>
            </w:r>
          </w:p>
        </w:tc>
        <w:tc>
          <w:tcPr>
            <w:tcW w:w="4252" w:type="dxa"/>
            <w:tcBorders>
              <w:bottom w:val="single" w:sz="4" w:space="0" w:color="auto"/>
            </w:tcBorders>
            <w:shd w:val="clear" w:color="auto" w:fill="auto"/>
          </w:tcPr>
          <w:p w:rsidR="005374C3" w:rsidRPr="00270717" w:rsidRDefault="00440E3B" w:rsidP="002A03C8">
            <w:pPr>
              <w:rPr>
                <w:sz w:val="22"/>
              </w:rPr>
            </w:pPr>
            <w:r w:rsidRPr="00270717">
              <w:rPr>
                <w:sz w:val="22"/>
              </w:rPr>
              <w:t>&lt;</w:t>
            </w:r>
            <w:r w:rsidR="008A172D" w:rsidRPr="00270717">
              <w:rPr>
                <w:sz w:val="22"/>
              </w:rPr>
              <w:t>www.</w:t>
            </w:r>
            <w:r w:rsidR="005374C3" w:rsidRPr="00270717">
              <w:rPr>
                <w:sz w:val="22"/>
              </w:rPr>
              <w:t>je</w:t>
            </w:r>
            <w:r w:rsidR="008C36DC">
              <w:rPr>
                <w:sz w:val="22"/>
              </w:rPr>
              <w:t>r</w:t>
            </w:r>
            <w:r w:rsidR="005374C3" w:rsidRPr="00270717">
              <w:rPr>
                <w:sz w:val="22"/>
              </w:rPr>
              <w:t>aa.org</w:t>
            </w:r>
            <w:r w:rsidR="00EC4E8B">
              <w:rPr>
                <w:sz w:val="22"/>
              </w:rPr>
              <w:t>.au</w:t>
            </w:r>
            <w:r w:rsidR="005374C3" w:rsidRPr="00270717">
              <w:rPr>
                <w:sz w:val="22"/>
              </w:rPr>
              <w:t>/resea</w:t>
            </w:r>
            <w:r w:rsidR="00C2070C" w:rsidRPr="00270717">
              <w:rPr>
                <w:sz w:val="22"/>
              </w:rPr>
              <w:t>rch/247</w:t>
            </w:r>
            <w:r w:rsidRPr="00270717">
              <w:rPr>
                <w:sz w:val="22"/>
              </w:rPr>
              <w:t>&gt;</w:t>
            </w:r>
          </w:p>
        </w:tc>
      </w:tr>
      <w:tr w:rsidR="00F14F3B" w:rsidTr="0084756F">
        <w:tc>
          <w:tcPr>
            <w:tcW w:w="4928" w:type="dxa"/>
            <w:tcBorders>
              <w:top w:val="single" w:sz="4" w:space="0" w:color="auto"/>
              <w:left w:val="nil"/>
              <w:bottom w:val="nil"/>
              <w:right w:val="nil"/>
            </w:tcBorders>
            <w:shd w:val="clear" w:color="auto" w:fill="auto"/>
          </w:tcPr>
          <w:p w:rsidR="00F14F3B" w:rsidRPr="00270717" w:rsidRDefault="00F14F3B" w:rsidP="00DF74EC">
            <w:pPr>
              <w:rPr>
                <w:sz w:val="22"/>
              </w:rPr>
            </w:pPr>
          </w:p>
        </w:tc>
        <w:tc>
          <w:tcPr>
            <w:tcW w:w="4252" w:type="dxa"/>
            <w:tcBorders>
              <w:top w:val="single" w:sz="4" w:space="0" w:color="auto"/>
              <w:left w:val="nil"/>
              <w:bottom w:val="nil"/>
              <w:right w:val="nil"/>
            </w:tcBorders>
            <w:shd w:val="clear" w:color="auto" w:fill="auto"/>
          </w:tcPr>
          <w:p w:rsidR="00F14F3B" w:rsidRPr="00270717" w:rsidRDefault="00F14F3B" w:rsidP="002A03C8">
            <w:pPr>
              <w:rPr>
                <w:sz w:val="22"/>
              </w:rPr>
            </w:pPr>
          </w:p>
        </w:tc>
      </w:tr>
    </w:tbl>
    <w:p w:rsidR="00F14F3B" w:rsidRDefault="00F14F3B" w:rsidP="006515EA">
      <w:pPr>
        <w:pStyle w:val="Heading1"/>
        <w:sectPr w:rsidR="00F14F3B" w:rsidSect="00F14F3B">
          <w:footerReference w:type="default" r:id="rId17"/>
          <w:headerReference w:type="first" r:id="rId18"/>
          <w:footerReference w:type="first" r:id="rId19"/>
          <w:type w:val="continuous"/>
          <w:pgSz w:w="11907" w:h="16840" w:code="9"/>
          <w:pgMar w:top="1384" w:right="1440" w:bottom="1440" w:left="1440" w:header="720" w:footer="595" w:gutter="0"/>
          <w:pgNumType w:start="1"/>
          <w:cols w:space="720"/>
          <w:docGrid w:linePitch="360"/>
        </w:sectPr>
      </w:pPr>
    </w:p>
    <w:p w:rsidR="0019081D" w:rsidRDefault="0019081D" w:rsidP="006515EA">
      <w:pPr>
        <w:pStyle w:val="Heading1"/>
      </w:pPr>
      <w:bookmarkStart w:id="7" w:name="_Toc422213327"/>
      <w:bookmarkStart w:id="8" w:name="_Toc422213384"/>
      <w:r>
        <w:lastRenderedPageBreak/>
        <w:t>Contribution to learning and teaching</w:t>
      </w:r>
      <w:bookmarkEnd w:id="7"/>
      <w:bookmarkEnd w:id="8"/>
    </w:p>
    <w:p w:rsidR="00262087" w:rsidRDefault="00470058" w:rsidP="00187DA1">
      <w:r>
        <w:t>The aim of the JoMeC Network</w:t>
      </w:r>
      <w:r w:rsidR="009325C7">
        <w:t xml:space="preserve"> project</w:t>
      </w:r>
      <w:r w:rsidR="00252BB5">
        <w:t xml:space="preserve"> </w:t>
      </w:r>
      <w:r>
        <w:t>was</w:t>
      </w:r>
      <w:r w:rsidR="00252BB5">
        <w:t xml:space="preserve"> to establish and develop</w:t>
      </w:r>
      <w:r w:rsidR="009325C7">
        <w:t xml:space="preserve"> </w:t>
      </w:r>
      <w:r w:rsidR="00252BB5">
        <w:t xml:space="preserve">a sustainable </w:t>
      </w:r>
      <w:r w:rsidR="00B30F99">
        <w:t>networ</w:t>
      </w:r>
      <w:r w:rsidR="00942FEC">
        <w:t xml:space="preserve">k of scholars in </w:t>
      </w:r>
      <w:r w:rsidR="00223B5D">
        <w:t>J</w:t>
      </w:r>
      <w:r w:rsidR="009F7F91">
        <w:t xml:space="preserve">ournalism, </w:t>
      </w:r>
      <w:r w:rsidR="00223B5D">
        <w:t>Media and Communication (JoMeC)</w:t>
      </w:r>
      <w:r w:rsidR="009F7F91" w:rsidDel="009F7F91">
        <w:t xml:space="preserve"> </w:t>
      </w:r>
      <w:r w:rsidR="009F7F91">
        <w:t xml:space="preserve">that would </w:t>
      </w:r>
      <w:r w:rsidR="00815B65">
        <w:t xml:space="preserve">promote cross-sectoral consultation </w:t>
      </w:r>
      <w:r w:rsidR="00EB3674">
        <w:t>around</w:t>
      </w:r>
      <w:r w:rsidR="00815B65">
        <w:t xml:space="preserve"> </w:t>
      </w:r>
      <w:r w:rsidR="0017038C">
        <w:t xml:space="preserve">the </w:t>
      </w:r>
      <w:r w:rsidR="00555D85">
        <w:t xml:space="preserve">minimum </w:t>
      </w:r>
      <w:r w:rsidR="00EB3674">
        <w:t xml:space="preserve">learning outcomes </w:t>
      </w:r>
      <w:r w:rsidR="00580898">
        <w:t>applicable across t</w:t>
      </w:r>
      <w:r w:rsidR="00516314">
        <w:t>he</w:t>
      </w:r>
      <w:r w:rsidR="008A65F6">
        <w:t>se disciplines</w:t>
      </w:r>
      <w:r w:rsidR="00B30F99">
        <w:t xml:space="preserve">. </w:t>
      </w:r>
      <w:r w:rsidR="00942FEC">
        <w:t xml:space="preserve">The late </w:t>
      </w:r>
      <w:r w:rsidR="002069F9">
        <w:t xml:space="preserve">Anne </w:t>
      </w:r>
      <w:r w:rsidR="00205F1C">
        <w:t xml:space="preserve">Dunn </w:t>
      </w:r>
      <w:r w:rsidR="00942FEC">
        <w:t>s</w:t>
      </w:r>
      <w:r w:rsidR="00205F1C">
        <w:t>pearh</w:t>
      </w:r>
      <w:r>
        <w:t xml:space="preserve">eaded the </w:t>
      </w:r>
      <w:r w:rsidR="008A65F6">
        <w:t xml:space="preserve">Network </w:t>
      </w:r>
      <w:r w:rsidR="00205F1C">
        <w:t xml:space="preserve">project </w:t>
      </w:r>
      <w:r w:rsidR="002069F9">
        <w:t xml:space="preserve">in 2011 </w:t>
      </w:r>
      <w:r w:rsidR="00205F1C">
        <w:t xml:space="preserve">in </w:t>
      </w:r>
      <w:r w:rsidR="007F3DB9">
        <w:t xml:space="preserve">her capacity as </w:t>
      </w:r>
      <w:r w:rsidR="009F7F91">
        <w:t xml:space="preserve">then </w:t>
      </w:r>
      <w:r w:rsidR="0017038C">
        <w:t xml:space="preserve">president of the </w:t>
      </w:r>
      <w:r w:rsidR="007F3DB9">
        <w:t>Journalism Education Association of Australia (JEAA</w:t>
      </w:r>
      <w:r w:rsidR="0017038C">
        <w:t xml:space="preserve">, which changed its name to </w:t>
      </w:r>
      <w:r w:rsidR="00223B5D">
        <w:t xml:space="preserve">the </w:t>
      </w:r>
      <w:r w:rsidR="0017038C">
        <w:t>J</w:t>
      </w:r>
      <w:r w:rsidR="00223B5D">
        <w:t xml:space="preserve">ournalism </w:t>
      </w:r>
      <w:r w:rsidR="0017038C">
        <w:t>E</w:t>
      </w:r>
      <w:r w:rsidR="00223B5D">
        <w:t xml:space="preserve">ducation and </w:t>
      </w:r>
      <w:r w:rsidR="0017038C">
        <w:t>R</w:t>
      </w:r>
      <w:r w:rsidR="00223B5D">
        <w:t xml:space="preserve">esearch </w:t>
      </w:r>
      <w:r w:rsidR="0017038C">
        <w:t>A</w:t>
      </w:r>
      <w:r w:rsidR="00223B5D">
        <w:t xml:space="preserve">ssociation of </w:t>
      </w:r>
      <w:r w:rsidR="0017038C">
        <w:t>A</w:t>
      </w:r>
      <w:r w:rsidR="00223B5D">
        <w:t>ustralia, JERAA,</w:t>
      </w:r>
      <w:r w:rsidR="0017038C">
        <w:t xml:space="preserve"> in August 2014</w:t>
      </w:r>
      <w:r w:rsidR="007F3DB9">
        <w:t xml:space="preserve">) and former </w:t>
      </w:r>
      <w:r w:rsidR="00223B5D">
        <w:t xml:space="preserve">president </w:t>
      </w:r>
      <w:r w:rsidR="0017038C">
        <w:t xml:space="preserve">of </w:t>
      </w:r>
      <w:r w:rsidR="00942FEC">
        <w:t xml:space="preserve">the </w:t>
      </w:r>
      <w:r w:rsidR="007F3DB9">
        <w:t>A</w:t>
      </w:r>
      <w:r w:rsidR="00942FEC">
        <w:t>ustralia</w:t>
      </w:r>
      <w:r w:rsidR="00642881">
        <w:t>n</w:t>
      </w:r>
      <w:r w:rsidR="00942FEC">
        <w:t xml:space="preserve"> and </w:t>
      </w:r>
      <w:r w:rsidR="007F3DB9">
        <w:t>N</w:t>
      </w:r>
      <w:r w:rsidR="00942FEC">
        <w:t xml:space="preserve">ew </w:t>
      </w:r>
      <w:r w:rsidR="007F3DB9">
        <w:t>Z</w:t>
      </w:r>
      <w:r w:rsidR="00942FEC">
        <w:t xml:space="preserve">ealand </w:t>
      </w:r>
      <w:r w:rsidR="007F3DB9">
        <w:t>C</w:t>
      </w:r>
      <w:r w:rsidR="00942FEC">
        <w:t xml:space="preserve">ommunication </w:t>
      </w:r>
      <w:r w:rsidR="007F3DB9">
        <w:t>A</w:t>
      </w:r>
      <w:r w:rsidR="00942FEC">
        <w:t>ssociation (ANZCA)</w:t>
      </w:r>
      <w:r w:rsidR="007F3DB9">
        <w:t xml:space="preserve">. </w:t>
      </w:r>
      <w:r w:rsidR="00942FEC">
        <w:t>T</w:t>
      </w:r>
      <w:r w:rsidR="009E4B68">
        <w:t xml:space="preserve">he JoMeC Network </w:t>
      </w:r>
      <w:r w:rsidR="00CC57F9">
        <w:t>has made six key contrib</w:t>
      </w:r>
      <w:r w:rsidR="00B35254">
        <w:t>utions to learning and teaching</w:t>
      </w:r>
      <w:r w:rsidR="00B30F99">
        <w:t xml:space="preserve">: </w:t>
      </w:r>
    </w:p>
    <w:p w:rsidR="0017038C" w:rsidRDefault="0017038C" w:rsidP="0017038C"/>
    <w:p w:rsidR="00580898" w:rsidRPr="00386CA5" w:rsidRDefault="00EB3674" w:rsidP="00470058">
      <w:pPr>
        <w:numPr>
          <w:ilvl w:val="0"/>
          <w:numId w:val="6"/>
        </w:numPr>
        <w:spacing w:after="120"/>
        <w:rPr>
          <w:szCs w:val="24"/>
        </w:rPr>
      </w:pPr>
      <w:r w:rsidRPr="00386CA5">
        <w:rPr>
          <w:szCs w:val="24"/>
        </w:rPr>
        <w:t xml:space="preserve">Isolating the common </w:t>
      </w:r>
      <w:r w:rsidR="00580898" w:rsidRPr="00386CA5">
        <w:rPr>
          <w:szCs w:val="24"/>
        </w:rPr>
        <w:t>pedagogical elem</w:t>
      </w:r>
      <w:r w:rsidR="00BE1406" w:rsidRPr="00386CA5">
        <w:rPr>
          <w:szCs w:val="24"/>
        </w:rPr>
        <w:t xml:space="preserve">ents of </w:t>
      </w:r>
      <w:r w:rsidR="00470058" w:rsidRPr="00386CA5">
        <w:rPr>
          <w:szCs w:val="24"/>
        </w:rPr>
        <w:t>bachelor degrees in JoMeC disciplines</w:t>
      </w:r>
      <w:r w:rsidR="00BE1406" w:rsidRPr="00386CA5">
        <w:rPr>
          <w:szCs w:val="24"/>
        </w:rPr>
        <w:t>;</w:t>
      </w:r>
    </w:p>
    <w:p w:rsidR="007407C9" w:rsidRPr="00386CA5" w:rsidRDefault="007407C9" w:rsidP="007D1DBD">
      <w:pPr>
        <w:numPr>
          <w:ilvl w:val="0"/>
          <w:numId w:val="6"/>
        </w:numPr>
        <w:spacing w:after="120"/>
        <w:rPr>
          <w:szCs w:val="24"/>
        </w:rPr>
      </w:pPr>
      <w:r w:rsidRPr="00386CA5">
        <w:rPr>
          <w:szCs w:val="24"/>
        </w:rPr>
        <w:t xml:space="preserve">Devising a methodology for developing </w:t>
      </w:r>
      <w:r w:rsidR="00470058" w:rsidRPr="00386CA5">
        <w:rPr>
          <w:szCs w:val="24"/>
        </w:rPr>
        <w:t>Threshold Learning Outcome (</w:t>
      </w:r>
      <w:r w:rsidRPr="00386CA5">
        <w:rPr>
          <w:szCs w:val="24"/>
        </w:rPr>
        <w:t>TLO</w:t>
      </w:r>
      <w:r w:rsidR="00470058" w:rsidRPr="00386CA5">
        <w:rPr>
          <w:szCs w:val="24"/>
        </w:rPr>
        <w:t>)</w:t>
      </w:r>
      <w:r w:rsidRPr="00386CA5">
        <w:rPr>
          <w:szCs w:val="24"/>
        </w:rPr>
        <w:t xml:space="preserve"> statements in complex disciplinary settings where there are</w:t>
      </w:r>
      <w:r w:rsidR="00C77491" w:rsidRPr="00386CA5">
        <w:rPr>
          <w:szCs w:val="24"/>
        </w:rPr>
        <w:t xml:space="preserve"> few</w:t>
      </w:r>
      <w:r w:rsidR="00BE1406" w:rsidRPr="00386CA5">
        <w:rPr>
          <w:szCs w:val="24"/>
        </w:rPr>
        <w:t xml:space="preserve"> clear disciplinary boundaries;</w:t>
      </w:r>
    </w:p>
    <w:p w:rsidR="00B30F99" w:rsidRPr="00386CA5" w:rsidRDefault="00EA56D4" w:rsidP="00470058">
      <w:pPr>
        <w:numPr>
          <w:ilvl w:val="0"/>
          <w:numId w:val="6"/>
        </w:numPr>
        <w:spacing w:after="120"/>
        <w:rPr>
          <w:szCs w:val="24"/>
        </w:rPr>
      </w:pPr>
      <w:r w:rsidRPr="00386CA5">
        <w:rPr>
          <w:szCs w:val="24"/>
        </w:rPr>
        <w:t xml:space="preserve">Formulating a set of </w:t>
      </w:r>
      <w:r w:rsidR="00470058" w:rsidRPr="00386CA5">
        <w:rPr>
          <w:szCs w:val="24"/>
        </w:rPr>
        <w:t xml:space="preserve">TLOs </w:t>
      </w:r>
      <w:r w:rsidR="008A65F6" w:rsidRPr="00386CA5">
        <w:rPr>
          <w:szCs w:val="24"/>
        </w:rPr>
        <w:t>expected of graduates of bachelor degrees with majors in</w:t>
      </w:r>
      <w:r w:rsidR="00B30F99" w:rsidRPr="00386CA5">
        <w:rPr>
          <w:szCs w:val="24"/>
        </w:rPr>
        <w:t xml:space="preserve"> Journalism and P</w:t>
      </w:r>
      <w:r w:rsidR="008A65F6" w:rsidRPr="00386CA5">
        <w:rPr>
          <w:szCs w:val="24"/>
        </w:rPr>
        <w:t>ublic Relations</w:t>
      </w:r>
      <w:r w:rsidR="00BE1406" w:rsidRPr="00386CA5">
        <w:rPr>
          <w:szCs w:val="24"/>
        </w:rPr>
        <w:t>;</w:t>
      </w:r>
    </w:p>
    <w:p w:rsidR="00B30F99" w:rsidRPr="00386CA5" w:rsidRDefault="00E7670D" w:rsidP="0017038C">
      <w:pPr>
        <w:numPr>
          <w:ilvl w:val="0"/>
          <w:numId w:val="6"/>
        </w:numPr>
        <w:spacing w:after="120"/>
        <w:rPr>
          <w:szCs w:val="24"/>
        </w:rPr>
      </w:pPr>
      <w:r w:rsidRPr="00386CA5">
        <w:rPr>
          <w:szCs w:val="24"/>
        </w:rPr>
        <w:t xml:space="preserve">Initiating consultation around </w:t>
      </w:r>
      <w:r w:rsidR="00B30F99" w:rsidRPr="00386CA5">
        <w:rPr>
          <w:szCs w:val="24"/>
        </w:rPr>
        <w:t xml:space="preserve">a </w:t>
      </w:r>
      <w:r w:rsidRPr="00386CA5">
        <w:rPr>
          <w:szCs w:val="24"/>
        </w:rPr>
        <w:t xml:space="preserve">draft </w:t>
      </w:r>
      <w:r w:rsidR="00B30F99" w:rsidRPr="00386CA5">
        <w:rPr>
          <w:szCs w:val="24"/>
        </w:rPr>
        <w:t xml:space="preserve">set of </w:t>
      </w:r>
      <w:r w:rsidR="00303D63" w:rsidRPr="00386CA5">
        <w:rPr>
          <w:szCs w:val="24"/>
        </w:rPr>
        <w:t>TLOs</w:t>
      </w:r>
      <w:r w:rsidR="00B30F99" w:rsidRPr="00386CA5">
        <w:rPr>
          <w:szCs w:val="24"/>
        </w:rPr>
        <w:t xml:space="preserve"> for</w:t>
      </w:r>
      <w:r w:rsidR="00303D63" w:rsidRPr="00386CA5">
        <w:rPr>
          <w:szCs w:val="24"/>
        </w:rPr>
        <w:t xml:space="preserve"> the</w:t>
      </w:r>
      <w:r w:rsidR="00B30F99" w:rsidRPr="00386CA5">
        <w:rPr>
          <w:szCs w:val="24"/>
        </w:rPr>
        <w:t xml:space="preserve"> Communication and</w:t>
      </w:r>
      <w:r w:rsidR="00707AAF" w:rsidRPr="00386CA5">
        <w:rPr>
          <w:szCs w:val="24"/>
        </w:rPr>
        <w:t>/or</w:t>
      </w:r>
      <w:r w:rsidR="00B30F99" w:rsidRPr="00386CA5">
        <w:rPr>
          <w:szCs w:val="24"/>
        </w:rPr>
        <w:t xml:space="preserve"> Media Studies</w:t>
      </w:r>
      <w:r w:rsidR="00303D63" w:rsidRPr="00386CA5">
        <w:rPr>
          <w:szCs w:val="24"/>
        </w:rPr>
        <w:t xml:space="preserve"> discipline</w:t>
      </w:r>
      <w:r w:rsidR="00B30F99" w:rsidRPr="00386CA5">
        <w:rPr>
          <w:szCs w:val="24"/>
        </w:rPr>
        <w:t xml:space="preserve">, which </w:t>
      </w:r>
      <w:r w:rsidR="00C77491" w:rsidRPr="00386CA5">
        <w:rPr>
          <w:szCs w:val="24"/>
        </w:rPr>
        <w:t>will be</w:t>
      </w:r>
      <w:r w:rsidR="00B30F99" w:rsidRPr="00386CA5">
        <w:rPr>
          <w:szCs w:val="24"/>
        </w:rPr>
        <w:t xml:space="preserve"> subject to ongoing consultation and review</w:t>
      </w:r>
      <w:r w:rsidRPr="00386CA5">
        <w:rPr>
          <w:szCs w:val="24"/>
        </w:rPr>
        <w:t xml:space="preserve"> </w:t>
      </w:r>
      <w:r w:rsidR="0017038C" w:rsidRPr="00386CA5">
        <w:rPr>
          <w:szCs w:val="24"/>
        </w:rPr>
        <w:t>by</w:t>
      </w:r>
      <w:r w:rsidR="008A65F6" w:rsidRPr="00386CA5">
        <w:rPr>
          <w:szCs w:val="24"/>
        </w:rPr>
        <w:t xml:space="preserve"> a Communication and/or Media Studies Reference Group</w:t>
      </w:r>
      <w:r w:rsidR="00C77491" w:rsidRPr="00386CA5">
        <w:rPr>
          <w:szCs w:val="24"/>
        </w:rPr>
        <w:t>;</w:t>
      </w:r>
    </w:p>
    <w:p w:rsidR="00496228" w:rsidRPr="00386CA5" w:rsidRDefault="00B30F99" w:rsidP="00470058">
      <w:pPr>
        <w:numPr>
          <w:ilvl w:val="0"/>
          <w:numId w:val="6"/>
        </w:numPr>
        <w:spacing w:after="120"/>
        <w:rPr>
          <w:szCs w:val="24"/>
        </w:rPr>
      </w:pPr>
      <w:r w:rsidRPr="00386CA5">
        <w:rPr>
          <w:szCs w:val="24"/>
        </w:rPr>
        <w:t xml:space="preserve">Establishing </w:t>
      </w:r>
      <w:r w:rsidR="00C50D91" w:rsidRPr="00386CA5">
        <w:rPr>
          <w:szCs w:val="24"/>
        </w:rPr>
        <w:t xml:space="preserve">information and resources for ongoing use by stakeholders, available via </w:t>
      </w:r>
      <w:r w:rsidR="00470058" w:rsidRPr="00386CA5">
        <w:rPr>
          <w:szCs w:val="24"/>
        </w:rPr>
        <w:t xml:space="preserve">a </w:t>
      </w:r>
      <w:r w:rsidRPr="00386CA5">
        <w:rPr>
          <w:szCs w:val="24"/>
        </w:rPr>
        <w:t>Network web</w:t>
      </w:r>
      <w:r w:rsidR="00C77491" w:rsidRPr="00386CA5">
        <w:rPr>
          <w:szCs w:val="24"/>
        </w:rPr>
        <w:t xml:space="preserve"> </w:t>
      </w:r>
      <w:r w:rsidR="00C50D91" w:rsidRPr="00386CA5">
        <w:rPr>
          <w:szCs w:val="24"/>
        </w:rPr>
        <w:t>hub</w:t>
      </w:r>
      <w:r w:rsidR="00C77491" w:rsidRPr="00386CA5">
        <w:rPr>
          <w:szCs w:val="24"/>
        </w:rPr>
        <w:t xml:space="preserve"> &lt;www.jeraa.org.au/research/218&gt;</w:t>
      </w:r>
      <w:r w:rsidR="008C36DC" w:rsidRPr="00386CA5">
        <w:rPr>
          <w:szCs w:val="24"/>
        </w:rPr>
        <w:t>,</w:t>
      </w:r>
      <w:r w:rsidRPr="00386CA5">
        <w:rPr>
          <w:szCs w:val="24"/>
        </w:rPr>
        <w:t xml:space="preserve"> </w:t>
      </w:r>
    </w:p>
    <w:p w:rsidR="00C32C04" w:rsidRPr="00386CA5" w:rsidRDefault="00580898" w:rsidP="00303D63">
      <w:pPr>
        <w:numPr>
          <w:ilvl w:val="0"/>
          <w:numId w:val="6"/>
        </w:numPr>
        <w:spacing w:after="120"/>
        <w:rPr>
          <w:szCs w:val="24"/>
        </w:rPr>
      </w:pPr>
      <w:r w:rsidRPr="00386CA5">
        <w:rPr>
          <w:szCs w:val="24"/>
        </w:rPr>
        <w:t xml:space="preserve">Identifying strategies to ensure </w:t>
      </w:r>
      <w:r w:rsidR="00470058" w:rsidRPr="00386CA5">
        <w:rPr>
          <w:szCs w:val="24"/>
        </w:rPr>
        <w:t>the N</w:t>
      </w:r>
      <w:r w:rsidR="00C32C04" w:rsidRPr="00386CA5">
        <w:rPr>
          <w:szCs w:val="24"/>
        </w:rPr>
        <w:t>etwork</w:t>
      </w:r>
      <w:r w:rsidRPr="00386CA5">
        <w:rPr>
          <w:szCs w:val="24"/>
        </w:rPr>
        <w:t>’s sustainability through ongoing support from</w:t>
      </w:r>
      <w:r w:rsidR="00223B5D" w:rsidRPr="00386CA5">
        <w:rPr>
          <w:szCs w:val="24"/>
        </w:rPr>
        <w:t xml:space="preserve"> two peak bodies,</w:t>
      </w:r>
      <w:r w:rsidR="00BE1406" w:rsidRPr="00386CA5">
        <w:rPr>
          <w:szCs w:val="24"/>
        </w:rPr>
        <w:t xml:space="preserve"> ANZCA</w:t>
      </w:r>
      <w:r w:rsidR="00303D63" w:rsidRPr="00386CA5">
        <w:rPr>
          <w:szCs w:val="24"/>
        </w:rPr>
        <w:t xml:space="preserve"> and JERAA</w:t>
      </w:r>
      <w:r w:rsidR="00223B5D" w:rsidRPr="00386CA5">
        <w:rPr>
          <w:szCs w:val="24"/>
        </w:rPr>
        <w:t>, and three Reference Groups for the disciplines of Journalism, Communication and/or Media Studies, and Public Relations.</w:t>
      </w:r>
    </w:p>
    <w:p w:rsidR="00E814FB" w:rsidRPr="00E814FB" w:rsidRDefault="00E814FB" w:rsidP="0019081D">
      <w:pPr>
        <w:rPr>
          <w:szCs w:val="24"/>
        </w:rPr>
      </w:pPr>
    </w:p>
    <w:p w:rsidR="00AD009F" w:rsidRPr="00297E84" w:rsidRDefault="003C6541" w:rsidP="00F14F3B">
      <w:pPr>
        <w:pStyle w:val="Heading2"/>
      </w:pPr>
      <w:bookmarkStart w:id="9" w:name="_Toc422213328"/>
      <w:bookmarkStart w:id="10" w:name="_Toc422213385"/>
      <w:r w:rsidRPr="00297E84">
        <w:t>The pedagogic</w:t>
      </w:r>
      <w:r w:rsidR="00BD6D85">
        <w:t>al</w:t>
      </w:r>
      <w:r w:rsidRPr="00297E84">
        <w:t xml:space="preserve"> elements of JoMeC programs of study</w:t>
      </w:r>
      <w:bookmarkEnd w:id="9"/>
      <w:bookmarkEnd w:id="10"/>
      <w:r w:rsidRPr="00297E84">
        <w:t xml:space="preserve"> </w:t>
      </w:r>
    </w:p>
    <w:p w:rsidR="001D583F" w:rsidRDefault="00C4332C" w:rsidP="00303D63">
      <w:r>
        <w:t>T</w:t>
      </w:r>
      <w:r w:rsidR="009A30AA">
        <w:t xml:space="preserve">he </w:t>
      </w:r>
      <w:r w:rsidR="00404EFD">
        <w:t xml:space="preserve">Network </w:t>
      </w:r>
      <w:r>
        <w:t xml:space="preserve">team </w:t>
      </w:r>
      <w:r w:rsidR="00404EFD">
        <w:t xml:space="preserve">reviewed </w:t>
      </w:r>
      <w:r w:rsidR="00EA7DB1">
        <w:t xml:space="preserve">Australian </w:t>
      </w:r>
      <w:r w:rsidR="00404EFD">
        <w:t>u</w:t>
      </w:r>
      <w:r w:rsidR="0086067B">
        <w:t xml:space="preserve">niversity websites and course materials </w:t>
      </w:r>
      <w:r w:rsidR="00EA7DB1">
        <w:t xml:space="preserve">in 2012 </w:t>
      </w:r>
      <w:r w:rsidR="00404EFD">
        <w:t>t</w:t>
      </w:r>
      <w:r w:rsidR="0007401E">
        <w:t>o develop a</w:t>
      </w:r>
      <w:r w:rsidR="00EE24D2">
        <w:t xml:space="preserve"> list</w:t>
      </w:r>
      <w:r w:rsidR="00BD6D85">
        <w:t xml:space="preserve"> of </w:t>
      </w:r>
      <w:r w:rsidR="006515EA">
        <w:t>bachelor-level</w:t>
      </w:r>
      <w:r w:rsidR="0007401E">
        <w:t xml:space="preserve"> programs</w:t>
      </w:r>
      <w:r w:rsidR="006515EA">
        <w:t xml:space="preserve"> </w:t>
      </w:r>
      <w:r w:rsidR="006B338C">
        <w:t xml:space="preserve">in </w:t>
      </w:r>
      <w:r w:rsidR="00B35254">
        <w:t>JoMeC</w:t>
      </w:r>
      <w:r w:rsidR="00BD6D85">
        <w:t xml:space="preserve"> fields, </w:t>
      </w:r>
      <w:r w:rsidR="006515EA">
        <w:t>plus</w:t>
      </w:r>
      <w:r w:rsidR="0086067B">
        <w:t xml:space="preserve"> </w:t>
      </w:r>
      <w:r w:rsidR="006515EA">
        <w:t xml:space="preserve">the </w:t>
      </w:r>
      <w:r w:rsidR="0086067B">
        <w:t>capstone</w:t>
      </w:r>
      <w:r w:rsidR="00BE2504">
        <w:t xml:space="preserve"> units</w:t>
      </w:r>
      <w:r w:rsidR="006515EA">
        <w:t xml:space="preserve"> or </w:t>
      </w:r>
      <w:r w:rsidR="00BE2504">
        <w:t>subjects</w:t>
      </w:r>
      <w:r w:rsidR="006515EA">
        <w:t xml:space="preserve"> that were offered in those programs</w:t>
      </w:r>
      <w:r w:rsidR="0007401E">
        <w:t xml:space="preserve">. </w:t>
      </w:r>
      <w:r w:rsidR="00B35254">
        <w:t>M</w:t>
      </w:r>
      <w:r w:rsidR="00F6770F">
        <w:t>ore than 100 bachelor</w:t>
      </w:r>
      <w:r w:rsidR="00A11392">
        <w:t>-</w:t>
      </w:r>
      <w:r w:rsidR="00F6770F">
        <w:t xml:space="preserve">level degrees </w:t>
      </w:r>
      <w:r w:rsidR="009A30AA">
        <w:t xml:space="preserve">were </w:t>
      </w:r>
      <w:r w:rsidR="00B35254">
        <w:t xml:space="preserve">found </w:t>
      </w:r>
      <w:r w:rsidR="00FF24DD">
        <w:t xml:space="preserve">to be </w:t>
      </w:r>
      <w:r w:rsidR="00B35254">
        <w:t xml:space="preserve">on </w:t>
      </w:r>
      <w:r w:rsidR="00F6770F">
        <w:t>offer</w:t>
      </w:r>
      <w:r w:rsidR="00B35254">
        <w:t xml:space="preserve"> across</w:t>
      </w:r>
      <w:r w:rsidR="00F6770F">
        <w:t xml:space="preserve"> the </w:t>
      </w:r>
      <w:r w:rsidR="001D583F">
        <w:t xml:space="preserve">broader </w:t>
      </w:r>
      <w:r w:rsidR="00F6770F">
        <w:t>JoMeC fields, with an assortment of titles</w:t>
      </w:r>
      <w:r w:rsidR="00336287">
        <w:t xml:space="preserve"> and graduate outcomes. </w:t>
      </w:r>
      <w:r w:rsidR="00B35254">
        <w:t>M</w:t>
      </w:r>
      <w:r w:rsidR="00336287">
        <w:t>ost frequently</w:t>
      </w:r>
      <w:r w:rsidR="00B35254">
        <w:t xml:space="preserve"> JoMeC courses were </w:t>
      </w:r>
      <w:r w:rsidR="00336287">
        <w:t xml:space="preserve">offered as a major in a </w:t>
      </w:r>
      <w:r w:rsidR="0011193F">
        <w:t xml:space="preserve">three-year </w:t>
      </w:r>
      <w:r w:rsidR="00336287">
        <w:t>Bachelor of Arts degree</w:t>
      </w:r>
      <w:r w:rsidR="00EA7DB1">
        <w:t xml:space="preserve">, </w:t>
      </w:r>
      <w:r>
        <w:t xml:space="preserve">usually with an option for </w:t>
      </w:r>
      <w:r w:rsidR="00A508D1">
        <w:t>an additional</w:t>
      </w:r>
      <w:r w:rsidR="00EA7DB1">
        <w:t xml:space="preserve"> honours year. </w:t>
      </w:r>
      <w:r w:rsidR="00336287">
        <w:t>Other popular qualifications incl</w:t>
      </w:r>
      <w:r w:rsidR="00C14679">
        <w:t>ude</w:t>
      </w:r>
      <w:r w:rsidR="00B35254">
        <w:t>d</w:t>
      </w:r>
      <w:r w:rsidR="00C14679">
        <w:t xml:space="preserve"> a </w:t>
      </w:r>
      <w:r w:rsidR="00336287">
        <w:t xml:space="preserve">Bachelor of </w:t>
      </w:r>
      <w:r w:rsidR="00A508D1">
        <w:t xml:space="preserve">Business </w:t>
      </w:r>
      <w:r>
        <w:t xml:space="preserve">or </w:t>
      </w:r>
      <w:r w:rsidR="00A508D1">
        <w:t>Commerce</w:t>
      </w:r>
      <w:r w:rsidR="00C14679">
        <w:t xml:space="preserve">, </w:t>
      </w:r>
      <w:r w:rsidR="00A508D1">
        <w:t xml:space="preserve">Bachelor of Communication, Bachelor of Creative Arts or Creative Industries, Bachelor of Journalism, </w:t>
      </w:r>
      <w:r w:rsidR="00C14679">
        <w:t>Bachelor of Media,</w:t>
      </w:r>
      <w:r w:rsidR="00336287">
        <w:t xml:space="preserve"> </w:t>
      </w:r>
      <w:r>
        <w:t xml:space="preserve">and </w:t>
      </w:r>
      <w:r w:rsidR="00336287">
        <w:t>Ba</w:t>
      </w:r>
      <w:r w:rsidR="00674D54">
        <w:t>chelor of Public Relations. Some u</w:t>
      </w:r>
      <w:r w:rsidR="00336287">
        <w:t>niver</w:t>
      </w:r>
      <w:r>
        <w:t>sities offer</w:t>
      </w:r>
      <w:r w:rsidR="00470058">
        <w:t>ed</w:t>
      </w:r>
      <w:r>
        <w:t xml:space="preserve"> JoMeC </w:t>
      </w:r>
      <w:r w:rsidR="00303D63">
        <w:t>studies</w:t>
      </w:r>
      <w:r>
        <w:t xml:space="preserve"> within</w:t>
      </w:r>
      <w:r w:rsidR="00336287">
        <w:t xml:space="preserve"> </w:t>
      </w:r>
      <w:r w:rsidR="00B35254">
        <w:t>a</w:t>
      </w:r>
      <w:r w:rsidR="00336287">
        <w:t xml:space="preserve"> Bachelor of Social Science</w:t>
      </w:r>
      <w:r w:rsidR="008C7CB1">
        <w:t>s</w:t>
      </w:r>
      <w:r w:rsidR="00C14679">
        <w:t>,</w:t>
      </w:r>
      <w:r w:rsidR="00336287">
        <w:t xml:space="preserve"> Bachelor of Liberal Arts and Science</w:t>
      </w:r>
      <w:r w:rsidR="00C14679">
        <w:t>,</w:t>
      </w:r>
      <w:r w:rsidR="00336287">
        <w:t xml:space="preserve"> Bachelor of Advertising</w:t>
      </w:r>
      <w:r w:rsidR="00C14679">
        <w:t>,</w:t>
      </w:r>
      <w:r w:rsidR="00336287">
        <w:t xml:space="preserve"> </w:t>
      </w:r>
      <w:r w:rsidR="00A11392">
        <w:t>or</w:t>
      </w:r>
      <w:r w:rsidR="00336287">
        <w:t xml:space="preserve"> Bachelor of Film and Television. </w:t>
      </w:r>
      <w:r w:rsidR="00223B5D">
        <w:t xml:space="preserve">Given </w:t>
      </w:r>
      <w:r w:rsidR="00EA7DB1">
        <w:rPr>
          <w:lang w:val="en-US"/>
        </w:rPr>
        <w:t>the</w:t>
      </w:r>
      <w:r w:rsidR="00EA7DB1" w:rsidRPr="00B94124">
        <w:rPr>
          <w:lang w:val="en-US"/>
        </w:rPr>
        <w:t xml:space="preserve"> myriad degree titles</w:t>
      </w:r>
      <w:r w:rsidR="00223B5D">
        <w:rPr>
          <w:lang w:val="en-US"/>
        </w:rPr>
        <w:t>, disci</w:t>
      </w:r>
      <w:r w:rsidR="00EA7DB1" w:rsidRPr="00B94124">
        <w:rPr>
          <w:lang w:val="en-US"/>
        </w:rPr>
        <w:t>plinary foc</w:t>
      </w:r>
      <w:r w:rsidR="00223B5D">
        <w:rPr>
          <w:lang w:val="en-US"/>
        </w:rPr>
        <w:t xml:space="preserve">i and projected career outcomes, the Network team focused on </w:t>
      </w:r>
      <w:r w:rsidR="00A508D1">
        <w:rPr>
          <w:lang w:val="en-US"/>
        </w:rPr>
        <w:t xml:space="preserve">Bachelor-level degrees for </w:t>
      </w:r>
      <w:r w:rsidR="00223B5D">
        <w:rPr>
          <w:lang w:val="en-US"/>
        </w:rPr>
        <w:t>three specific JoMeC disciplines – Journalism, Communication and/or Media Studies, and Public Relations.</w:t>
      </w:r>
    </w:p>
    <w:p w:rsidR="001D583F" w:rsidRDefault="001D583F" w:rsidP="0019081D"/>
    <w:p w:rsidR="00445306" w:rsidRDefault="00573FA2" w:rsidP="00223B5D">
      <w:r>
        <w:t>A 2013 review of Learning O</w:t>
      </w:r>
      <w:r w:rsidR="00A76606">
        <w:t>utcome statements from Journalism, Communication and/or Media Studies</w:t>
      </w:r>
      <w:r w:rsidR="009D685C">
        <w:t>, and Public Relations</w:t>
      </w:r>
      <w:r w:rsidR="00A76606">
        <w:t xml:space="preserve"> programs at Australian un</w:t>
      </w:r>
      <w:r w:rsidR="00161266">
        <w:t xml:space="preserve">iversities </w:t>
      </w:r>
      <w:r w:rsidR="00815BD0">
        <w:t>found a mix</w:t>
      </w:r>
      <w:r w:rsidR="00D74DBD">
        <w:t>ture of approaches</w:t>
      </w:r>
      <w:r w:rsidR="00A76606">
        <w:t xml:space="preserve">. </w:t>
      </w:r>
      <w:r w:rsidR="00EA7DB1">
        <w:t>Despite the complex and multifaceted disciplinary settings of JoMeC programs</w:t>
      </w:r>
      <w:r w:rsidR="00061E5C">
        <w:t xml:space="preserve"> and variations in the language they employed</w:t>
      </w:r>
      <w:r w:rsidR="00EA7DB1">
        <w:t>, t</w:t>
      </w:r>
      <w:r w:rsidR="00B13093">
        <w:t xml:space="preserve">he </w:t>
      </w:r>
      <w:r w:rsidR="00815BD0">
        <w:t xml:space="preserve">majority of </w:t>
      </w:r>
      <w:r>
        <w:t>Learning O</w:t>
      </w:r>
      <w:r w:rsidR="00B13093">
        <w:t>utcome statements</w:t>
      </w:r>
      <w:r w:rsidR="008C7CB1">
        <w:t xml:space="preserve"> </w:t>
      </w:r>
      <w:r w:rsidR="00815BD0">
        <w:t>expressly or implicitly articulated expectations for</w:t>
      </w:r>
      <w:r w:rsidR="00B13093">
        <w:t xml:space="preserve"> </w:t>
      </w:r>
      <w:r w:rsidR="00470058">
        <w:t xml:space="preserve">bachelor-level </w:t>
      </w:r>
      <w:r w:rsidR="00B13093">
        <w:t xml:space="preserve">graduates to </w:t>
      </w:r>
      <w:r w:rsidR="00445306">
        <w:t xml:space="preserve">display: </w:t>
      </w:r>
    </w:p>
    <w:p w:rsidR="00223B5D" w:rsidRDefault="00223B5D" w:rsidP="00223B5D"/>
    <w:p w:rsidR="00D1375D" w:rsidRPr="00386CA5" w:rsidRDefault="00153C77" w:rsidP="007D1DBD">
      <w:pPr>
        <w:pStyle w:val="Bulletlist"/>
        <w:numPr>
          <w:ilvl w:val="0"/>
          <w:numId w:val="11"/>
        </w:numPr>
        <w:rPr>
          <w:szCs w:val="24"/>
        </w:rPr>
      </w:pPr>
      <w:r w:rsidRPr="00386CA5">
        <w:rPr>
          <w:szCs w:val="24"/>
        </w:rPr>
        <w:t>In-depth knowledge and understanding of themselves, the field and its related practices;</w:t>
      </w:r>
    </w:p>
    <w:p w:rsidR="00445306" w:rsidRPr="00386CA5" w:rsidRDefault="001563A5" w:rsidP="007D1DBD">
      <w:pPr>
        <w:numPr>
          <w:ilvl w:val="0"/>
          <w:numId w:val="11"/>
        </w:numPr>
        <w:spacing w:after="120"/>
        <w:rPr>
          <w:szCs w:val="24"/>
        </w:rPr>
      </w:pPr>
      <w:r w:rsidRPr="00386CA5">
        <w:rPr>
          <w:szCs w:val="24"/>
        </w:rPr>
        <w:t>A</w:t>
      </w:r>
      <w:r w:rsidR="00CD376A" w:rsidRPr="00386CA5">
        <w:rPr>
          <w:szCs w:val="24"/>
        </w:rPr>
        <w:t xml:space="preserve"> range of acade</w:t>
      </w:r>
      <w:r w:rsidR="00815BD0" w:rsidRPr="00386CA5">
        <w:rPr>
          <w:szCs w:val="24"/>
        </w:rPr>
        <w:t>mic, vocational and generic</w:t>
      </w:r>
      <w:r w:rsidR="00CD376A" w:rsidRPr="00386CA5">
        <w:rPr>
          <w:szCs w:val="24"/>
        </w:rPr>
        <w:t xml:space="preserve"> skills</w:t>
      </w:r>
      <w:r w:rsidR="00815BD0" w:rsidRPr="00386CA5">
        <w:rPr>
          <w:szCs w:val="24"/>
        </w:rPr>
        <w:t>,</w:t>
      </w:r>
      <w:r w:rsidR="00CD376A" w:rsidRPr="00386CA5">
        <w:rPr>
          <w:szCs w:val="24"/>
        </w:rPr>
        <w:t xml:space="preserve"> particularly in terms of medi</w:t>
      </w:r>
      <w:r w:rsidR="00303D63" w:rsidRPr="00386CA5">
        <w:rPr>
          <w:szCs w:val="24"/>
        </w:rPr>
        <w:t>a literacy, communication, use and adaptation of</w:t>
      </w:r>
      <w:r w:rsidR="00CD376A" w:rsidRPr="00386CA5">
        <w:rPr>
          <w:szCs w:val="24"/>
        </w:rPr>
        <w:t xml:space="preserve"> technolo</w:t>
      </w:r>
      <w:r w:rsidR="00D23048" w:rsidRPr="00386CA5">
        <w:rPr>
          <w:szCs w:val="24"/>
        </w:rPr>
        <w:t>gy, relationship building, self</w:t>
      </w:r>
      <w:r w:rsidR="00690AF3" w:rsidRPr="00386CA5">
        <w:rPr>
          <w:szCs w:val="24"/>
        </w:rPr>
        <w:t xml:space="preserve"> </w:t>
      </w:r>
      <w:r w:rsidR="00CD376A" w:rsidRPr="00386CA5">
        <w:rPr>
          <w:szCs w:val="24"/>
        </w:rPr>
        <w:t>management</w:t>
      </w:r>
      <w:r w:rsidR="00AF098E" w:rsidRPr="00386CA5">
        <w:rPr>
          <w:szCs w:val="24"/>
        </w:rPr>
        <w:t>, capacity to work independently and with others</w:t>
      </w:r>
      <w:r w:rsidR="00D23048" w:rsidRPr="00386CA5">
        <w:rPr>
          <w:szCs w:val="24"/>
        </w:rPr>
        <w:t>,</w:t>
      </w:r>
      <w:r w:rsidR="00CD376A" w:rsidRPr="00386CA5">
        <w:rPr>
          <w:szCs w:val="24"/>
        </w:rPr>
        <w:t xml:space="preserve"> </w:t>
      </w:r>
      <w:r w:rsidR="00B40CBD" w:rsidRPr="00386CA5">
        <w:rPr>
          <w:szCs w:val="24"/>
        </w:rPr>
        <w:t>as well as lifelong</w:t>
      </w:r>
      <w:r w:rsidR="00CD376A" w:rsidRPr="00386CA5">
        <w:rPr>
          <w:szCs w:val="24"/>
        </w:rPr>
        <w:t xml:space="preserve"> learning skills</w:t>
      </w:r>
      <w:r w:rsidR="0025687E" w:rsidRPr="00386CA5">
        <w:rPr>
          <w:szCs w:val="24"/>
        </w:rPr>
        <w:t>;</w:t>
      </w:r>
    </w:p>
    <w:p w:rsidR="009355F2" w:rsidRPr="00386CA5" w:rsidRDefault="00303D63" w:rsidP="00303D63">
      <w:pPr>
        <w:numPr>
          <w:ilvl w:val="0"/>
          <w:numId w:val="11"/>
        </w:numPr>
        <w:spacing w:after="120"/>
        <w:rPr>
          <w:szCs w:val="24"/>
        </w:rPr>
      </w:pPr>
      <w:r w:rsidRPr="00386CA5">
        <w:rPr>
          <w:szCs w:val="24"/>
        </w:rPr>
        <w:t>C</w:t>
      </w:r>
      <w:r w:rsidR="00CD376A" w:rsidRPr="00386CA5">
        <w:rPr>
          <w:szCs w:val="24"/>
        </w:rPr>
        <w:t>apacity to solve problems</w:t>
      </w:r>
      <w:r w:rsidR="00AF098E" w:rsidRPr="00386CA5">
        <w:rPr>
          <w:szCs w:val="24"/>
        </w:rPr>
        <w:t xml:space="preserve"> by</w:t>
      </w:r>
      <w:r w:rsidR="00CD376A" w:rsidRPr="00386CA5">
        <w:rPr>
          <w:szCs w:val="24"/>
        </w:rPr>
        <w:t xml:space="preserve"> apply</w:t>
      </w:r>
      <w:r w:rsidR="00AF098E" w:rsidRPr="00386CA5">
        <w:rPr>
          <w:szCs w:val="24"/>
        </w:rPr>
        <w:t>ing</w:t>
      </w:r>
      <w:r w:rsidR="00CD376A" w:rsidRPr="00386CA5">
        <w:rPr>
          <w:szCs w:val="24"/>
        </w:rPr>
        <w:t xml:space="preserve"> knowledge and skills to real</w:t>
      </w:r>
      <w:r w:rsidR="00B40CBD" w:rsidRPr="00386CA5">
        <w:rPr>
          <w:szCs w:val="24"/>
        </w:rPr>
        <w:t>-</w:t>
      </w:r>
      <w:r w:rsidR="00CD376A" w:rsidRPr="00386CA5">
        <w:rPr>
          <w:szCs w:val="24"/>
        </w:rPr>
        <w:t>world situations through critical thinking and</w:t>
      </w:r>
      <w:r w:rsidR="0025687E" w:rsidRPr="00386CA5">
        <w:rPr>
          <w:szCs w:val="24"/>
        </w:rPr>
        <w:t>/or</w:t>
      </w:r>
      <w:r w:rsidR="00CD376A" w:rsidRPr="00386CA5">
        <w:rPr>
          <w:szCs w:val="24"/>
        </w:rPr>
        <w:t xml:space="preserve"> reflective practice</w:t>
      </w:r>
      <w:r w:rsidR="0025687E" w:rsidRPr="00386CA5">
        <w:rPr>
          <w:szCs w:val="24"/>
        </w:rPr>
        <w:t>;</w:t>
      </w:r>
    </w:p>
    <w:p w:rsidR="009355F2" w:rsidRPr="00386CA5" w:rsidRDefault="00CD376A" w:rsidP="00303D63">
      <w:pPr>
        <w:numPr>
          <w:ilvl w:val="0"/>
          <w:numId w:val="11"/>
        </w:numPr>
        <w:spacing w:after="120"/>
        <w:rPr>
          <w:szCs w:val="24"/>
        </w:rPr>
      </w:pPr>
      <w:r w:rsidRPr="00386CA5">
        <w:rPr>
          <w:szCs w:val="24"/>
        </w:rPr>
        <w:t>Ability to exercise judgment</w:t>
      </w:r>
      <w:r w:rsidR="00B40CBD" w:rsidRPr="00386CA5">
        <w:rPr>
          <w:szCs w:val="24"/>
        </w:rPr>
        <w:t>,</w:t>
      </w:r>
      <w:r w:rsidRPr="00386CA5">
        <w:rPr>
          <w:szCs w:val="24"/>
        </w:rPr>
        <w:t xml:space="preserve"> particularly </w:t>
      </w:r>
      <w:r w:rsidR="00303D63" w:rsidRPr="00386CA5">
        <w:rPr>
          <w:szCs w:val="24"/>
        </w:rPr>
        <w:t xml:space="preserve">in </w:t>
      </w:r>
      <w:r w:rsidRPr="00386CA5">
        <w:rPr>
          <w:szCs w:val="24"/>
        </w:rPr>
        <w:t>relati</w:t>
      </w:r>
      <w:r w:rsidR="00303D63" w:rsidRPr="00386CA5">
        <w:rPr>
          <w:szCs w:val="24"/>
        </w:rPr>
        <w:t>on</w:t>
      </w:r>
      <w:r w:rsidRPr="00386CA5">
        <w:rPr>
          <w:szCs w:val="24"/>
        </w:rPr>
        <w:t xml:space="preserve"> to ethical, professional</w:t>
      </w:r>
      <w:r w:rsidR="001563A5" w:rsidRPr="00386CA5">
        <w:rPr>
          <w:szCs w:val="24"/>
        </w:rPr>
        <w:t>, social, cultural</w:t>
      </w:r>
      <w:r w:rsidR="0025687E" w:rsidRPr="00386CA5">
        <w:rPr>
          <w:szCs w:val="24"/>
        </w:rPr>
        <w:t xml:space="preserve"> and research issues;</w:t>
      </w:r>
    </w:p>
    <w:p w:rsidR="00AF098E" w:rsidRPr="00386CA5" w:rsidRDefault="00303D63" w:rsidP="007D1DBD">
      <w:pPr>
        <w:numPr>
          <w:ilvl w:val="0"/>
          <w:numId w:val="11"/>
        </w:numPr>
        <w:spacing w:after="120"/>
        <w:rPr>
          <w:szCs w:val="24"/>
        </w:rPr>
      </w:pPr>
      <w:r w:rsidRPr="00386CA5">
        <w:rPr>
          <w:szCs w:val="24"/>
        </w:rPr>
        <w:t>Creativity</w:t>
      </w:r>
      <w:r w:rsidR="00CD376A" w:rsidRPr="00386CA5">
        <w:rPr>
          <w:szCs w:val="24"/>
        </w:rPr>
        <w:t xml:space="preserve"> and resourceful</w:t>
      </w:r>
      <w:r w:rsidRPr="00386CA5">
        <w:rPr>
          <w:szCs w:val="24"/>
        </w:rPr>
        <w:t>ness</w:t>
      </w:r>
      <w:r w:rsidR="00CD376A" w:rsidRPr="00386CA5">
        <w:rPr>
          <w:szCs w:val="24"/>
        </w:rPr>
        <w:t xml:space="preserve"> </w:t>
      </w:r>
      <w:r w:rsidR="00B40CBD" w:rsidRPr="00386CA5">
        <w:rPr>
          <w:szCs w:val="24"/>
        </w:rPr>
        <w:t xml:space="preserve">– </w:t>
      </w:r>
      <w:r w:rsidR="00674D54" w:rsidRPr="00386CA5">
        <w:rPr>
          <w:szCs w:val="24"/>
        </w:rPr>
        <w:t>personally, professionally and</w:t>
      </w:r>
      <w:r w:rsidR="009355F2" w:rsidRPr="00386CA5">
        <w:rPr>
          <w:szCs w:val="24"/>
        </w:rPr>
        <w:t>/or as a learner</w:t>
      </w:r>
      <w:r w:rsidR="0025687E" w:rsidRPr="00386CA5">
        <w:rPr>
          <w:szCs w:val="24"/>
        </w:rPr>
        <w:t>;</w:t>
      </w:r>
      <w:r w:rsidR="001563A5" w:rsidRPr="00386CA5">
        <w:rPr>
          <w:szCs w:val="24"/>
        </w:rPr>
        <w:t xml:space="preserve"> </w:t>
      </w:r>
    </w:p>
    <w:p w:rsidR="00CD376A" w:rsidRPr="00386CA5" w:rsidRDefault="00AF098E" w:rsidP="00303D63">
      <w:pPr>
        <w:numPr>
          <w:ilvl w:val="0"/>
          <w:numId w:val="11"/>
        </w:numPr>
        <w:spacing w:after="120"/>
        <w:rPr>
          <w:szCs w:val="24"/>
        </w:rPr>
      </w:pPr>
      <w:r w:rsidRPr="00386CA5">
        <w:rPr>
          <w:szCs w:val="24"/>
        </w:rPr>
        <w:t>A</w:t>
      </w:r>
      <w:r w:rsidR="001563A5" w:rsidRPr="00386CA5">
        <w:rPr>
          <w:szCs w:val="24"/>
        </w:rPr>
        <w:t>bility to contribute to the advancement of knowledge</w:t>
      </w:r>
      <w:r w:rsidR="00815BD0" w:rsidRPr="00386CA5">
        <w:rPr>
          <w:szCs w:val="24"/>
        </w:rPr>
        <w:t>, the profession</w:t>
      </w:r>
      <w:r w:rsidR="001563A5" w:rsidRPr="00386CA5">
        <w:rPr>
          <w:szCs w:val="24"/>
        </w:rPr>
        <w:t xml:space="preserve"> and/or practice</w:t>
      </w:r>
      <w:r w:rsidR="009355F2" w:rsidRPr="00386CA5">
        <w:rPr>
          <w:szCs w:val="24"/>
        </w:rPr>
        <w:t xml:space="preserve">. </w:t>
      </w:r>
    </w:p>
    <w:p w:rsidR="00CD376A" w:rsidRDefault="00CD376A" w:rsidP="0019081D"/>
    <w:p w:rsidR="00CD6160" w:rsidRPr="00CA3524" w:rsidRDefault="00942FEC" w:rsidP="00942FEC">
      <w:r>
        <w:t>As part of efforts to make sense of the complexities associated with forming a unified disciplinary network, t</w:t>
      </w:r>
      <w:r w:rsidR="00943587">
        <w:t xml:space="preserve">he </w:t>
      </w:r>
      <w:r w:rsidR="00815BD0">
        <w:t>Network</w:t>
      </w:r>
      <w:r w:rsidR="00943587">
        <w:t xml:space="preserve"> team </w:t>
      </w:r>
      <w:r w:rsidR="00400EF1">
        <w:t xml:space="preserve">also studied capstone units </w:t>
      </w:r>
      <w:r w:rsidR="00D74DBD">
        <w:t>(</w:t>
      </w:r>
      <w:r w:rsidR="00FF24DD">
        <w:t>also</w:t>
      </w:r>
      <w:r w:rsidR="00400EF1">
        <w:t xml:space="preserve"> </w:t>
      </w:r>
      <w:r w:rsidR="00FF24DD">
        <w:t xml:space="preserve">called </w:t>
      </w:r>
      <w:r w:rsidR="00400EF1">
        <w:t>subjects</w:t>
      </w:r>
      <w:r w:rsidR="00FF24DD">
        <w:t xml:space="preserve"> or courses</w:t>
      </w:r>
      <w:r w:rsidR="00D74DBD">
        <w:t>)</w:t>
      </w:r>
      <w:r w:rsidR="00400EF1">
        <w:t xml:space="preserve"> </w:t>
      </w:r>
      <w:r w:rsidR="00D74DBD">
        <w:t>from</w:t>
      </w:r>
      <w:r w:rsidR="00400EF1">
        <w:t xml:space="preserve"> JoMeC degree-level programs</w:t>
      </w:r>
      <w:r w:rsidR="00815924">
        <w:t xml:space="preserve">. </w:t>
      </w:r>
      <w:r w:rsidR="00BE2504">
        <w:t>Capstone</w:t>
      </w:r>
      <w:r w:rsidR="00A43B80">
        <w:t xml:space="preserve">s provide </w:t>
      </w:r>
      <w:r w:rsidR="00943587">
        <w:t>a “culminating experience in which students are expected to integrate, extend, critique and apply the knowledge gained in a major”</w:t>
      </w:r>
      <w:r w:rsidR="00573FA2">
        <w:t>.</w:t>
      </w:r>
      <w:r w:rsidR="00943587">
        <w:rPr>
          <w:rStyle w:val="FootnoteReference"/>
        </w:rPr>
        <w:footnoteReference w:id="2"/>
      </w:r>
      <w:r w:rsidR="00A43B80">
        <w:t xml:space="preserve"> </w:t>
      </w:r>
      <w:r w:rsidR="005C1214">
        <w:t xml:space="preserve">Projects and internships </w:t>
      </w:r>
      <w:r w:rsidR="00341EB1">
        <w:t>were</w:t>
      </w:r>
      <w:r w:rsidR="005C1214">
        <w:t xml:space="preserve"> the most common forms of capstone</w:t>
      </w:r>
      <w:r w:rsidR="00FB03FD">
        <w:t>s</w:t>
      </w:r>
      <w:r w:rsidR="005C1214">
        <w:t xml:space="preserve"> across the JoMeC fields</w:t>
      </w:r>
      <w:r w:rsidR="009408A7">
        <w:t xml:space="preserve">, predominantly offered </w:t>
      </w:r>
      <w:r>
        <w:t>during</w:t>
      </w:r>
      <w:r w:rsidR="009408A7">
        <w:t xml:space="preserve"> the final year or semester of study</w:t>
      </w:r>
      <w:r w:rsidR="005C1214">
        <w:t xml:space="preserve">. </w:t>
      </w:r>
      <w:r w:rsidR="00321C5B">
        <w:t>T</w:t>
      </w:r>
      <w:r w:rsidR="00CD6160">
        <w:t>he review</w:t>
      </w:r>
      <w:r w:rsidR="0093616B">
        <w:t xml:space="preserve"> </w:t>
      </w:r>
      <w:r w:rsidR="00CD6160">
        <w:t>revealed that JoMeC capstones performed three key functions by requiring students to (1) synthesi</w:t>
      </w:r>
      <w:r w:rsidR="001B2DD2">
        <w:t>s</w:t>
      </w:r>
      <w:r w:rsidR="00CD6160">
        <w:t xml:space="preserve">e prior knowledge; (2) apply that knowledge and relate their learning to real-life issues; and (3) </w:t>
      </w:r>
      <w:r w:rsidR="001B2DD2">
        <w:t xml:space="preserve">provide </w:t>
      </w:r>
      <w:r w:rsidR="00CD6160">
        <w:t>evidence</w:t>
      </w:r>
      <w:r w:rsidR="001B2DD2">
        <w:t xml:space="preserve"> of</w:t>
      </w:r>
      <w:r w:rsidR="00CD6160">
        <w:t xml:space="preserve"> their preparedness for transition to employment, further study and life beyond university. </w:t>
      </w:r>
      <w:r w:rsidR="00462CB2">
        <w:t xml:space="preserve">Capstones thus </w:t>
      </w:r>
      <w:r>
        <w:t>nurtured reflection, creativity,</w:t>
      </w:r>
      <w:r w:rsidR="00462CB2">
        <w:t xml:space="preserve"> critical thinking </w:t>
      </w:r>
      <w:r>
        <w:t>and</w:t>
      </w:r>
      <w:r w:rsidR="00EA712A">
        <w:t xml:space="preserve"> life</w:t>
      </w:r>
      <w:r w:rsidR="00462CB2">
        <w:t xml:space="preserve">long learning skills. </w:t>
      </w:r>
      <w:r w:rsidR="00EA712A">
        <w:t>S</w:t>
      </w:r>
      <w:r w:rsidR="00CD6160">
        <w:t xml:space="preserve">ocial, professional and academic ethics and responsibility were a focus of </w:t>
      </w:r>
      <w:r w:rsidR="00EA712A">
        <w:t xml:space="preserve">most </w:t>
      </w:r>
      <w:r w:rsidR="00CD6160">
        <w:t>capstones, either exp</w:t>
      </w:r>
      <w:r w:rsidR="00462CB2">
        <w:t>licitly or implicitly</w:t>
      </w:r>
      <w:r w:rsidR="001B2DD2">
        <w:t>.</w:t>
      </w:r>
    </w:p>
    <w:p w:rsidR="00CD6160" w:rsidRDefault="00CD6160" w:rsidP="0019081D"/>
    <w:p w:rsidR="00386CA5" w:rsidRDefault="00C4332C" w:rsidP="00303D63">
      <w:r>
        <w:t>T</w:t>
      </w:r>
      <w:r w:rsidR="00D26F44">
        <w:t xml:space="preserve">his scoping of </w:t>
      </w:r>
      <w:r w:rsidR="00514D7D">
        <w:t>degrees</w:t>
      </w:r>
      <w:r w:rsidR="00D26F44">
        <w:t xml:space="preserve"> </w:t>
      </w:r>
      <w:r w:rsidR="00223B5D">
        <w:t xml:space="preserve">and capstones </w:t>
      </w:r>
      <w:r w:rsidR="00D26F44">
        <w:t xml:space="preserve">provided important insights into the </w:t>
      </w:r>
      <w:r w:rsidR="00223B5D">
        <w:t>knowledge, skills and applications (</w:t>
      </w:r>
      <w:r w:rsidR="005A7813">
        <w:t>KSAs</w:t>
      </w:r>
      <w:r w:rsidR="00223B5D">
        <w:t>)</w:t>
      </w:r>
      <w:r w:rsidR="00D26F44">
        <w:t xml:space="preserve"> expected of </w:t>
      </w:r>
      <w:r w:rsidR="005A7813">
        <w:t xml:space="preserve">bachelor-level </w:t>
      </w:r>
      <w:r w:rsidR="00D26F44">
        <w:t>graduates and the pat</w:t>
      </w:r>
      <w:r w:rsidR="005A7813">
        <w:t>hways for achieving such outcomes</w:t>
      </w:r>
      <w:r w:rsidR="00D26F44">
        <w:t>.</w:t>
      </w:r>
      <w:r w:rsidR="0025687E">
        <w:t xml:space="preserve"> </w:t>
      </w:r>
    </w:p>
    <w:p w:rsidR="00386CA5" w:rsidRDefault="00386CA5" w:rsidP="00303D63"/>
    <w:p w:rsidR="00386CA5" w:rsidRDefault="00386CA5" w:rsidP="00303D63"/>
    <w:p w:rsidR="00462CB2" w:rsidRDefault="0025687E" w:rsidP="00303D63">
      <w:r>
        <w:lastRenderedPageBreak/>
        <w:t>Despite</w:t>
      </w:r>
      <w:r w:rsidR="00E0333F">
        <w:t xml:space="preserve"> the diversity of faculty/school/department</w:t>
      </w:r>
      <w:r>
        <w:t xml:space="preserve"> affiliations, degree titles, disciplinary frameworks</w:t>
      </w:r>
      <w:r w:rsidR="00303D63">
        <w:t>,</w:t>
      </w:r>
      <w:r>
        <w:t xml:space="preserve"> and projected career outcomes among JoMeC </w:t>
      </w:r>
      <w:r w:rsidR="005A7813">
        <w:t xml:space="preserve">bachelor-level </w:t>
      </w:r>
      <w:r>
        <w:t>programs, it was possible to i</w:t>
      </w:r>
      <w:r w:rsidR="00514D7D">
        <w:t>solate</w:t>
      </w:r>
      <w:r>
        <w:t xml:space="preserve"> </w:t>
      </w:r>
      <w:r w:rsidR="005B0D2F">
        <w:t xml:space="preserve">six </w:t>
      </w:r>
      <w:r>
        <w:t xml:space="preserve">common sets of </w:t>
      </w:r>
      <w:r w:rsidR="005B0D2F">
        <w:t xml:space="preserve">learning outcomes expected </w:t>
      </w:r>
      <w:r>
        <w:t>of bachelor-</w:t>
      </w:r>
      <w:r w:rsidR="00EA712A">
        <w:t>degree graduates (see</w:t>
      </w:r>
      <w:r w:rsidR="00511138">
        <w:t xml:space="preserve"> page 4 below</w:t>
      </w:r>
      <w:r w:rsidR="00C50D91">
        <w:t>)</w:t>
      </w:r>
      <w:r w:rsidR="00462CB2">
        <w:t>. The study of</w:t>
      </w:r>
      <w:r w:rsidR="005B0D2F">
        <w:t xml:space="preserve"> capstones</w:t>
      </w:r>
      <w:r>
        <w:t xml:space="preserve"> </w:t>
      </w:r>
      <w:r w:rsidR="00EA712A">
        <w:t xml:space="preserve">confirmed that JoMeC degrees aimed to </w:t>
      </w:r>
      <w:r w:rsidR="00514D7D">
        <w:t>embed</w:t>
      </w:r>
      <w:r w:rsidR="00462CB2">
        <w:t xml:space="preserve"> reflective, creative and critical applications</w:t>
      </w:r>
      <w:r w:rsidR="00EA712A">
        <w:t>,</w:t>
      </w:r>
      <w:r w:rsidR="00514D7D">
        <w:t xml:space="preserve"> </w:t>
      </w:r>
      <w:r w:rsidR="00462CB2">
        <w:t xml:space="preserve">rather than mere </w:t>
      </w:r>
      <w:r w:rsidR="00514D7D">
        <w:t xml:space="preserve">mastery of </w:t>
      </w:r>
      <w:r w:rsidR="00C4332C">
        <w:t>knowledge or</w:t>
      </w:r>
      <w:r w:rsidR="00462CB2">
        <w:t xml:space="preserve"> skills about</w:t>
      </w:r>
      <w:r w:rsidR="005A7813">
        <w:t xml:space="preserve"> the</w:t>
      </w:r>
      <w:r w:rsidR="00462CB2">
        <w:t xml:space="preserve"> practices,</w:t>
      </w:r>
      <w:r w:rsidR="005A7813">
        <w:t xml:space="preserve"> identities, objectives, theoretical paradigms, practitioner-community </w:t>
      </w:r>
      <w:r w:rsidR="00462CB2">
        <w:t>relationships,</w:t>
      </w:r>
      <w:r w:rsidR="005A7813">
        <w:t xml:space="preserve"> regulation, </w:t>
      </w:r>
      <w:r w:rsidR="00462CB2">
        <w:t>ethics and responsibiliti</w:t>
      </w:r>
      <w:r w:rsidR="00EA712A">
        <w:t>es in the graduate’s field</w:t>
      </w:r>
      <w:r w:rsidR="00303D63">
        <w:t xml:space="preserve"> of learning</w:t>
      </w:r>
      <w:r w:rsidR="00EA712A">
        <w:t>.</w:t>
      </w:r>
    </w:p>
    <w:p w:rsidR="00DD3324" w:rsidRDefault="00DD3324" w:rsidP="0019081D"/>
    <w:p w:rsidR="00B94124" w:rsidRPr="00AD6FD9" w:rsidRDefault="0075705A" w:rsidP="00F14F3B">
      <w:pPr>
        <w:pStyle w:val="Heading2"/>
      </w:pPr>
      <w:bookmarkStart w:id="11" w:name="_Toc422213329"/>
      <w:bookmarkStart w:id="12" w:name="_Toc422213386"/>
      <w:r w:rsidRPr="00FA1B7B">
        <w:t>Methodological innovation</w:t>
      </w:r>
      <w:bookmarkEnd w:id="11"/>
      <w:bookmarkEnd w:id="12"/>
    </w:p>
    <w:p w:rsidR="00453065" w:rsidRDefault="00045047" w:rsidP="004D5808">
      <w:pPr>
        <w:spacing w:after="120"/>
      </w:pPr>
      <w:r>
        <w:t xml:space="preserve">Given the complexity </w:t>
      </w:r>
      <w:r w:rsidR="0014064D">
        <w:t xml:space="preserve">and diversity </w:t>
      </w:r>
      <w:r>
        <w:t xml:space="preserve">of disciplines and </w:t>
      </w:r>
      <w:r w:rsidR="0014064D">
        <w:t>degrees, the Network</w:t>
      </w:r>
      <w:r w:rsidR="00A508D1">
        <w:t xml:space="preserve"> team adapted </w:t>
      </w:r>
      <w:r w:rsidR="0014064D">
        <w:t>d</w:t>
      </w:r>
      <w:r w:rsidR="00A508D1">
        <w:t xml:space="preserve">eliberative </w:t>
      </w:r>
      <w:r w:rsidR="007B4293">
        <w:t>issue</w:t>
      </w:r>
      <w:r w:rsidR="0014064D">
        <w:t>-framing</w:t>
      </w:r>
      <w:r>
        <w:t xml:space="preserve"> techniques</w:t>
      </w:r>
      <w:r w:rsidR="00FA1B7B">
        <w:rPr>
          <w:rStyle w:val="FootnoteReference"/>
        </w:rPr>
        <w:footnoteReference w:id="3"/>
      </w:r>
      <w:r>
        <w:t xml:space="preserve"> </w:t>
      </w:r>
      <w:r w:rsidR="00A508D1">
        <w:t>to draft TLO statements for JoMeC degrees and three, extended, discipline-specific TLO statements for Journalism, Communication and/or Media Studies, and Public Relations</w:t>
      </w:r>
      <w:r w:rsidR="006B4D2C">
        <w:t>.</w:t>
      </w:r>
      <w:r w:rsidR="0014064D">
        <w:rPr>
          <w:rStyle w:val="FootnoteReference"/>
        </w:rPr>
        <w:footnoteReference w:id="4"/>
      </w:r>
      <w:r w:rsidR="006B4D2C">
        <w:t xml:space="preserve"> </w:t>
      </w:r>
      <w:r w:rsidR="00FA1B7B">
        <w:t>F</w:t>
      </w:r>
      <w:r w:rsidR="00453065">
        <w:t xml:space="preserve">ive overlapping </w:t>
      </w:r>
      <w:r w:rsidR="00FA1B7B">
        <w:t xml:space="preserve">issue-framing </w:t>
      </w:r>
      <w:r w:rsidR="00453065">
        <w:t>strategies</w:t>
      </w:r>
      <w:r w:rsidR="00FA1B7B">
        <w:t xml:space="preserve"> were used</w:t>
      </w:r>
      <w:r w:rsidR="00453065">
        <w:t xml:space="preserve">: </w:t>
      </w:r>
    </w:p>
    <w:p w:rsidR="00453065" w:rsidRPr="00386CA5" w:rsidRDefault="00453065" w:rsidP="00A12090">
      <w:pPr>
        <w:numPr>
          <w:ilvl w:val="0"/>
          <w:numId w:val="12"/>
        </w:numPr>
        <w:spacing w:after="120"/>
        <w:rPr>
          <w:szCs w:val="24"/>
        </w:rPr>
      </w:pPr>
      <w:r w:rsidRPr="00386CA5">
        <w:rPr>
          <w:szCs w:val="24"/>
        </w:rPr>
        <w:t>Formulat</w:t>
      </w:r>
      <w:r w:rsidR="00FA1B7B" w:rsidRPr="00386CA5">
        <w:rPr>
          <w:szCs w:val="24"/>
        </w:rPr>
        <w:t>ion of</w:t>
      </w:r>
      <w:r w:rsidRPr="00386CA5">
        <w:rPr>
          <w:szCs w:val="24"/>
        </w:rPr>
        <w:t xml:space="preserve"> an i</w:t>
      </w:r>
      <w:r w:rsidR="00A508D1" w:rsidRPr="00386CA5">
        <w:rPr>
          <w:szCs w:val="24"/>
        </w:rPr>
        <w:t>ssue</w:t>
      </w:r>
      <w:r w:rsidRPr="00386CA5">
        <w:rPr>
          <w:szCs w:val="24"/>
        </w:rPr>
        <w:t>-framing team</w:t>
      </w:r>
      <w:r w:rsidR="00FA1B7B" w:rsidRPr="00386CA5">
        <w:rPr>
          <w:szCs w:val="24"/>
        </w:rPr>
        <w:t>: This was</w:t>
      </w:r>
      <w:r w:rsidR="002701AF" w:rsidRPr="00386CA5">
        <w:rPr>
          <w:szCs w:val="24"/>
        </w:rPr>
        <w:t xml:space="preserve"> an advisory group of representatives from different disciplinary areas who were </w:t>
      </w:r>
      <w:r w:rsidR="006B4D2C" w:rsidRPr="00386CA5">
        <w:rPr>
          <w:szCs w:val="24"/>
        </w:rPr>
        <w:t xml:space="preserve">open to a broad </w:t>
      </w:r>
      <w:r w:rsidR="00A12090" w:rsidRPr="00386CA5">
        <w:rPr>
          <w:szCs w:val="24"/>
        </w:rPr>
        <w:t xml:space="preserve">range of ideas and complicated </w:t>
      </w:r>
      <w:r w:rsidR="006B4D2C" w:rsidRPr="00386CA5">
        <w:rPr>
          <w:szCs w:val="24"/>
        </w:rPr>
        <w:t>issues</w:t>
      </w:r>
      <w:r w:rsidR="00FA1B7B" w:rsidRPr="00386CA5">
        <w:rPr>
          <w:szCs w:val="24"/>
        </w:rPr>
        <w:t>. T</w:t>
      </w:r>
      <w:r w:rsidR="002701AF" w:rsidRPr="00386CA5">
        <w:rPr>
          <w:szCs w:val="24"/>
        </w:rPr>
        <w:t>he team developed</w:t>
      </w:r>
      <w:r w:rsidR="006B4D2C" w:rsidRPr="00386CA5">
        <w:rPr>
          <w:szCs w:val="24"/>
        </w:rPr>
        <w:t xml:space="preserve"> a framework for extracting learning outcomes that were n</w:t>
      </w:r>
      <w:r w:rsidR="002701AF" w:rsidRPr="00386CA5">
        <w:rPr>
          <w:szCs w:val="24"/>
        </w:rPr>
        <w:t>ationally applicable across JoMe</w:t>
      </w:r>
      <w:r w:rsidR="006B4D2C" w:rsidRPr="00386CA5">
        <w:rPr>
          <w:szCs w:val="24"/>
        </w:rPr>
        <w:t>C communities.</w:t>
      </w:r>
    </w:p>
    <w:p w:rsidR="00453065" w:rsidRPr="00386CA5" w:rsidRDefault="00FA1B7B" w:rsidP="00674D54">
      <w:pPr>
        <w:numPr>
          <w:ilvl w:val="0"/>
          <w:numId w:val="12"/>
        </w:numPr>
        <w:spacing w:after="120"/>
        <w:rPr>
          <w:szCs w:val="24"/>
        </w:rPr>
      </w:pPr>
      <w:r w:rsidRPr="00386CA5">
        <w:rPr>
          <w:szCs w:val="24"/>
        </w:rPr>
        <w:t>Review of</w:t>
      </w:r>
      <w:r w:rsidR="00453065" w:rsidRPr="00386CA5">
        <w:rPr>
          <w:szCs w:val="24"/>
        </w:rPr>
        <w:t xml:space="preserve"> literature</w:t>
      </w:r>
      <w:r w:rsidR="00511138" w:rsidRPr="00386CA5">
        <w:rPr>
          <w:szCs w:val="24"/>
        </w:rPr>
        <w:t xml:space="preserve"> and</w:t>
      </w:r>
      <w:r w:rsidR="006B4D2C" w:rsidRPr="00386CA5">
        <w:rPr>
          <w:szCs w:val="24"/>
        </w:rPr>
        <w:t xml:space="preserve"> </w:t>
      </w:r>
      <w:r w:rsidR="00453065" w:rsidRPr="00386CA5">
        <w:rPr>
          <w:szCs w:val="24"/>
        </w:rPr>
        <w:t>research</w:t>
      </w:r>
      <w:r w:rsidR="00674D54" w:rsidRPr="00386CA5">
        <w:rPr>
          <w:szCs w:val="24"/>
        </w:rPr>
        <w:t>: To determine</w:t>
      </w:r>
      <w:r w:rsidR="006B4D2C" w:rsidRPr="00386CA5">
        <w:rPr>
          <w:szCs w:val="24"/>
        </w:rPr>
        <w:t xml:space="preserve"> how learning outcomes were being</w:t>
      </w:r>
      <w:r w:rsidR="00453065" w:rsidRPr="00386CA5">
        <w:rPr>
          <w:szCs w:val="24"/>
        </w:rPr>
        <w:t xml:space="preserve"> framed,</w:t>
      </w:r>
      <w:r w:rsidR="00674D54" w:rsidRPr="00386CA5">
        <w:rPr>
          <w:szCs w:val="24"/>
        </w:rPr>
        <w:t xml:space="preserve"> represented and</w:t>
      </w:r>
      <w:r w:rsidR="006B4D2C" w:rsidRPr="00386CA5">
        <w:rPr>
          <w:szCs w:val="24"/>
        </w:rPr>
        <w:t xml:space="preserve"> understood</w:t>
      </w:r>
      <w:r w:rsidR="00674D54" w:rsidRPr="00386CA5">
        <w:rPr>
          <w:szCs w:val="24"/>
        </w:rPr>
        <w:t>, t</w:t>
      </w:r>
      <w:r w:rsidRPr="00386CA5">
        <w:rPr>
          <w:szCs w:val="24"/>
        </w:rPr>
        <w:t xml:space="preserve">he team </w:t>
      </w:r>
      <w:r w:rsidR="002701AF" w:rsidRPr="00386CA5">
        <w:rPr>
          <w:szCs w:val="24"/>
        </w:rPr>
        <w:t>review</w:t>
      </w:r>
      <w:r w:rsidRPr="00386CA5">
        <w:rPr>
          <w:szCs w:val="24"/>
        </w:rPr>
        <w:t>ed</w:t>
      </w:r>
      <w:r w:rsidR="002701AF" w:rsidRPr="00386CA5">
        <w:rPr>
          <w:szCs w:val="24"/>
        </w:rPr>
        <w:t xml:space="preserve"> scholarly research, </w:t>
      </w:r>
      <w:r w:rsidRPr="00386CA5">
        <w:rPr>
          <w:szCs w:val="24"/>
        </w:rPr>
        <w:t>studied</w:t>
      </w:r>
      <w:r w:rsidR="002701AF" w:rsidRPr="00386CA5">
        <w:rPr>
          <w:szCs w:val="24"/>
        </w:rPr>
        <w:t xml:space="preserve"> accreditation requirements and industry-produced materials about expectations</w:t>
      </w:r>
      <w:r w:rsidR="00674D54" w:rsidRPr="00386CA5">
        <w:rPr>
          <w:szCs w:val="24"/>
        </w:rPr>
        <w:t xml:space="preserve"> of graduates, and </w:t>
      </w:r>
      <w:r w:rsidR="002701AF" w:rsidRPr="00386CA5">
        <w:rPr>
          <w:szCs w:val="24"/>
        </w:rPr>
        <w:t>an</w:t>
      </w:r>
      <w:r w:rsidRPr="00386CA5">
        <w:rPr>
          <w:szCs w:val="24"/>
        </w:rPr>
        <w:t>alysed</w:t>
      </w:r>
      <w:r w:rsidR="002701AF" w:rsidRPr="00386CA5">
        <w:rPr>
          <w:szCs w:val="24"/>
        </w:rPr>
        <w:t xml:space="preserve"> Lea</w:t>
      </w:r>
      <w:r w:rsidRPr="00386CA5">
        <w:rPr>
          <w:szCs w:val="24"/>
        </w:rPr>
        <w:t>rning Outcome statements from degrees in Journalism, Communication and/or Media Studies, and Public Relations</w:t>
      </w:r>
      <w:r w:rsidR="002701AF" w:rsidRPr="00386CA5">
        <w:rPr>
          <w:szCs w:val="24"/>
        </w:rPr>
        <w:t>.</w:t>
      </w:r>
    </w:p>
    <w:p w:rsidR="00453065" w:rsidRPr="00386CA5" w:rsidRDefault="00453065" w:rsidP="00674D54">
      <w:pPr>
        <w:numPr>
          <w:ilvl w:val="0"/>
          <w:numId w:val="12"/>
        </w:numPr>
        <w:spacing w:after="120"/>
        <w:rPr>
          <w:szCs w:val="24"/>
        </w:rPr>
      </w:pPr>
      <w:r w:rsidRPr="00386CA5">
        <w:rPr>
          <w:szCs w:val="24"/>
        </w:rPr>
        <w:t>Interviews or focused discussions</w:t>
      </w:r>
      <w:r w:rsidR="00674D54" w:rsidRPr="00386CA5">
        <w:rPr>
          <w:szCs w:val="24"/>
        </w:rPr>
        <w:t>: The team</w:t>
      </w:r>
      <w:r w:rsidRPr="00386CA5">
        <w:rPr>
          <w:szCs w:val="24"/>
        </w:rPr>
        <w:t xml:space="preserve"> target</w:t>
      </w:r>
      <w:r w:rsidR="002701AF" w:rsidRPr="00386CA5">
        <w:rPr>
          <w:szCs w:val="24"/>
        </w:rPr>
        <w:t>ed</w:t>
      </w:r>
      <w:r w:rsidRPr="00386CA5">
        <w:rPr>
          <w:szCs w:val="24"/>
        </w:rPr>
        <w:t xml:space="preserve"> representatives of key stakeholder groups to reveal “how they connect to the issue and their concerns and interests”</w:t>
      </w:r>
      <w:r w:rsidR="00511138" w:rsidRPr="00386CA5">
        <w:rPr>
          <w:szCs w:val="24"/>
        </w:rPr>
        <w:t>.</w:t>
      </w:r>
      <w:r w:rsidRPr="00386CA5">
        <w:rPr>
          <w:rStyle w:val="FootnoteReference"/>
          <w:szCs w:val="24"/>
        </w:rPr>
        <w:footnoteReference w:id="5"/>
      </w:r>
      <w:r w:rsidR="00511138" w:rsidRPr="00386CA5">
        <w:rPr>
          <w:szCs w:val="24"/>
        </w:rPr>
        <w:t xml:space="preserve">  </w:t>
      </w:r>
    </w:p>
    <w:p w:rsidR="00453065" w:rsidRPr="00386CA5" w:rsidRDefault="002701AF" w:rsidP="00FA1B7B">
      <w:pPr>
        <w:numPr>
          <w:ilvl w:val="0"/>
          <w:numId w:val="12"/>
        </w:numPr>
        <w:spacing w:after="120"/>
        <w:rPr>
          <w:szCs w:val="24"/>
        </w:rPr>
      </w:pPr>
      <w:r w:rsidRPr="00386CA5">
        <w:rPr>
          <w:szCs w:val="24"/>
        </w:rPr>
        <w:t xml:space="preserve">Community conversations </w:t>
      </w:r>
      <w:r w:rsidR="00453065" w:rsidRPr="00386CA5">
        <w:rPr>
          <w:szCs w:val="24"/>
        </w:rPr>
        <w:t xml:space="preserve">to allow </w:t>
      </w:r>
      <w:r w:rsidR="00FA1B7B" w:rsidRPr="00386CA5">
        <w:rPr>
          <w:szCs w:val="24"/>
        </w:rPr>
        <w:t xml:space="preserve">a broad spectrum of </w:t>
      </w:r>
      <w:r w:rsidR="00453065" w:rsidRPr="00386CA5">
        <w:rPr>
          <w:szCs w:val="24"/>
        </w:rPr>
        <w:t>stakeholders to p</w:t>
      </w:r>
      <w:r w:rsidR="00511138" w:rsidRPr="00386CA5">
        <w:rPr>
          <w:szCs w:val="24"/>
        </w:rPr>
        <w:t>rovide insights</w:t>
      </w:r>
      <w:r w:rsidR="00FA1B7B" w:rsidRPr="00386CA5">
        <w:rPr>
          <w:szCs w:val="24"/>
        </w:rPr>
        <w:t>: I</w:t>
      </w:r>
      <w:r w:rsidR="00511138" w:rsidRPr="00386CA5">
        <w:rPr>
          <w:szCs w:val="24"/>
        </w:rPr>
        <w:t>nput was solicited via forums and meetings at conferences, targeted emails, interviews, updates in the JEAA/JERAA newsletter, and the Network’s web hub and Facebook page.</w:t>
      </w:r>
    </w:p>
    <w:p w:rsidR="00453065" w:rsidRDefault="00FA1B7B" w:rsidP="00DF12E0">
      <w:pPr>
        <w:numPr>
          <w:ilvl w:val="0"/>
          <w:numId w:val="12"/>
        </w:numPr>
      </w:pPr>
      <w:r w:rsidRPr="00386CA5">
        <w:rPr>
          <w:szCs w:val="24"/>
        </w:rPr>
        <w:t xml:space="preserve">Test forums/public meetings: These were conducted </w:t>
      </w:r>
      <w:r w:rsidR="00674D54" w:rsidRPr="00386CA5">
        <w:rPr>
          <w:szCs w:val="24"/>
        </w:rPr>
        <w:t>at</w:t>
      </w:r>
      <w:r w:rsidRPr="00386CA5">
        <w:rPr>
          <w:szCs w:val="24"/>
        </w:rPr>
        <w:t xml:space="preserve"> </w:t>
      </w:r>
      <w:r w:rsidR="00303D63" w:rsidRPr="00386CA5">
        <w:rPr>
          <w:szCs w:val="24"/>
        </w:rPr>
        <w:t>via conferences and other forums</w:t>
      </w:r>
      <w:r w:rsidRPr="00386CA5">
        <w:rPr>
          <w:szCs w:val="24"/>
        </w:rPr>
        <w:t xml:space="preserve"> </w:t>
      </w:r>
      <w:r w:rsidR="00453065" w:rsidRPr="00386CA5">
        <w:rPr>
          <w:szCs w:val="24"/>
        </w:rPr>
        <w:t>to “check the validity of the initial framework that has been constructed, looking for perspectives, concerns and tensions that resonate with citizens in their daily lives”.</w:t>
      </w:r>
      <w:r w:rsidR="00453065" w:rsidRPr="00386CA5">
        <w:rPr>
          <w:rStyle w:val="FootnoteReference"/>
          <w:szCs w:val="24"/>
        </w:rPr>
        <w:footnoteReference w:id="6"/>
      </w:r>
      <w:r w:rsidR="00453065" w:rsidRPr="00386CA5">
        <w:rPr>
          <w:szCs w:val="24"/>
        </w:rPr>
        <w:t xml:space="preserve"> </w:t>
      </w:r>
    </w:p>
    <w:p w:rsidR="00DF12E0" w:rsidRPr="006515EA" w:rsidRDefault="00DF12E0" w:rsidP="00F14F3B">
      <w:pPr>
        <w:pStyle w:val="Heading2"/>
      </w:pPr>
      <w:bookmarkStart w:id="13" w:name="_Toc422213330"/>
      <w:bookmarkStart w:id="14" w:name="_Toc422213387"/>
      <w:r w:rsidRPr="006515EA">
        <w:lastRenderedPageBreak/>
        <w:t xml:space="preserve">Threshold Learning Outcomes </w:t>
      </w:r>
      <w:r w:rsidR="0075705A" w:rsidRPr="006515EA">
        <w:t>for JoMeC disciplines</w:t>
      </w:r>
      <w:bookmarkEnd w:id="13"/>
      <w:bookmarkEnd w:id="14"/>
    </w:p>
    <w:p w:rsidR="00DF12E0" w:rsidRDefault="00EA712A" w:rsidP="00EA712A">
      <w:pPr>
        <w:spacing w:after="120"/>
      </w:pPr>
      <w:r>
        <w:t>From this research and co</w:t>
      </w:r>
      <w:r w:rsidR="00082E19">
        <w:t xml:space="preserve">nsultation, </w:t>
      </w:r>
      <w:r w:rsidR="00DF12E0">
        <w:t xml:space="preserve">the JoMeC </w:t>
      </w:r>
      <w:r w:rsidR="00082E19">
        <w:t xml:space="preserve">Network </w:t>
      </w:r>
      <w:r w:rsidR="00493BC0">
        <w:t xml:space="preserve">was able to distil </w:t>
      </w:r>
      <w:r w:rsidR="00DF12E0">
        <w:t>six shared Threshold Learning Outcomes appl</w:t>
      </w:r>
      <w:r w:rsidR="00082E19">
        <w:t>icable across the JoMeC network. In brief, these are</w:t>
      </w:r>
      <w:r w:rsidR="00DF12E0">
        <w:t xml:space="preserve">: </w:t>
      </w:r>
    </w:p>
    <w:p w:rsidR="00DF12E0" w:rsidRPr="007102F1" w:rsidRDefault="00DF12E0" w:rsidP="00187DA1">
      <w:pPr>
        <w:ind w:left="720"/>
      </w:pPr>
      <w:r w:rsidRPr="007102F1">
        <w:rPr>
          <w:b/>
        </w:rPr>
        <w:t>Knowledge</w:t>
      </w:r>
      <w:r w:rsidRPr="007102F1">
        <w:t xml:space="preserve">: Graduates possess an in-depth knowledge of the field across local and global contexts, revealing knowledge of the theories, practices, forms, materials, technologies and techniques. </w:t>
      </w:r>
    </w:p>
    <w:p w:rsidR="00DF12E0" w:rsidRPr="007102F1" w:rsidRDefault="00082E19" w:rsidP="00187DA1">
      <w:pPr>
        <w:ind w:left="720"/>
      </w:pPr>
      <w:r w:rsidRPr="007102F1">
        <w:rPr>
          <w:b/>
        </w:rPr>
        <w:t>Thinking s</w:t>
      </w:r>
      <w:r w:rsidR="00DF12E0" w:rsidRPr="007102F1">
        <w:rPr>
          <w:b/>
        </w:rPr>
        <w:t>kills:</w:t>
      </w:r>
      <w:r w:rsidR="00DF12E0" w:rsidRPr="007102F1">
        <w:t xml:space="preserve"> Graduates can </w:t>
      </w:r>
      <w:r w:rsidR="0084756F" w:rsidRPr="007102F1">
        <w:t>develop</w:t>
      </w:r>
      <w:r w:rsidR="00DF12E0" w:rsidRPr="007102F1">
        <w:t xml:space="preserve"> research and evaluate concepts, ideas, information, images and processes through creative, critical and reflective thinking and practice. </w:t>
      </w:r>
    </w:p>
    <w:p w:rsidR="00DF12E0" w:rsidRPr="007102F1" w:rsidRDefault="00082E19" w:rsidP="00187DA1">
      <w:pPr>
        <w:ind w:left="720"/>
      </w:pPr>
      <w:r w:rsidRPr="007102F1">
        <w:rPr>
          <w:b/>
        </w:rPr>
        <w:t>Communication and technology s</w:t>
      </w:r>
      <w:r w:rsidR="00DF12E0" w:rsidRPr="007102F1">
        <w:rPr>
          <w:b/>
        </w:rPr>
        <w:t>kills:</w:t>
      </w:r>
      <w:r w:rsidR="00DF12E0" w:rsidRPr="007102F1">
        <w:t xml:space="preserve"> Graduates can interpret, communicate and exchange ideas, problems and arguments across personal, professional and disciplinary settings. Selecting, utilising and, where necessary, adapting styles and technology to suit audience and context are essential outcomes for a graduate. </w:t>
      </w:r>
    </w:p>
    <w:p w:rsidR="00DF12E0" w:rsidRPr="007102F1" w:rsidRDefault="00DF12E0" w:rsidP="00187DA1">
      <w:pPr>
        <w:ind w:left="720"/>
      </w:pPr>
      <w:r w:rsidRPr="007102F1">
        <w:rPr>
          <w:b/>
        </w:rPr>
        <w:t>Self-management, relationship</w:t>
      </w:r>
      <w:r w:rsidR="00D23048">
        <w:rPr>
          <w:b/>
        </w:rPr>
        <w:t>-building and self-</w:t>
      </w:r>
      <w:r w:rsidRPr="007102F1">
        <w:rPr>
          <w:b/>
        </w:rPr>
        <w:t>development skills:</w:t>
      </w:r>
      <w:r w:rsidRPr="007102F1">
        <w:t xml:space="preserve"> Graduates can work independently, professionally and collaboratively to demonstrate self-management. They can exhibit the skills and judgment needed to develop and sustain effective networks, relationships and connections relevant to their study and future employment. </w:t>
      </w:r>
    </w:p>
    <w:p w:rsidR="00DF12E0" w:rsidRPr="007102F1" w:rsidRDefault="00DF12E0" w:rsidP="00187DA1">
      <w:pPr>
        <w:ind w:left="720"/>
      </w:pPr>
      <w:r w:rsidRPr="007102F1">
        <w:rPr>
          <w:b/>
        </w:rPr>
        <w:t>Integrity, ethics and responsibility:</w:t>
      </w:r>
      <w:r w:rsidRPr="007102F1">
        <w:t xml:space="preserve"> Graduates will recognise and reflect upon social, cultural, ethical and legal values principles and protocols that underpin their field of study and employment. They will demonstrate capacity for being responsible and accountable. </w:t>
      </w:r>
    </w:p>
    <w:p w:rsidR="00DF12E0" w:rsidRPr="007102F1" w:rsidRDefault="00DF12E0" w:rsidP="00187DA1">
      <w:pPr>
        <w:ind w:left="720"/>
      </w:pPr>
      <w:r w:rsidRPr="007102F1">
        <w:rPr>
          <w:b/>
        </w:rPr>
        <w:t>Resourceful and reflective learning and practice:</w:t>
      </w:r>
      <w:r w:rsidRPr="007102F1">
        <w:t xml:space="preserve"> Graduates can critically and creatively apply knowledge, skills and practices to reveal the autonomy and judgment needed to engage in resourceful and reflective learning and practice. </w:t>
      </w:r>
    </w:p>
    <w:p w:rsidR="00DF12E0" w:rsidRDefault="00DF12E0" w:rsidP="00DF12E0"/>
    <w:p w:rsidR="00DF12E0" w:rsidRDefault="00DF12E0" w:rsidP="00674D54">
      <w:r>
        <w:t>The</w:t>
      </w:r>
      <w:r w:rsidR="00493BC0">
        <w:t>se</w:t>
      </w:r>
      <w:r>
        <w:t xml:space="preserve"> TLOs align with the </w:t>
      </w:r>
      <w:r w:rsidR="00223B5D">
        <w:t>Australian Qualifications Framework (AQF)</w:t>
      </w:r>
      <w:r w:rsidR="00223B5D">
        <w:rPr>
          <w:rStyle w:val="FootnoteReference"/>
        </w:rPr>
        <w:footnoteReference w:id="7"/>
      </w:r>
      <w:r w:rsidR="00223B5D">
        <w:t xml:space="preserve"> </w:t>
      </w:r>
      <w:r>
        <w:t xml:space="preserve">taxonomy for </w:t>
      </w:r>
      <w:r w:rsidR="00303D63">
        <w:t xml:space="preserve">all Australian </w:t>
      </w:r>
      <w:r>
        <w:t>bachelor-level qualifications, which require graduates to have in-depth knowledge and skills that can be applied to real-world situations. In line with current thinking, the JoMeC TLOs emphasise the importance of bachelor-level graduates developing local and global perspectives. Ethics, integrity</w:t>
      </w:r>
      <w:r w:rsidR="00674D54">
        <w:t>, and</w:t>
      </w:r>
      <w:r>
        <w:t xml:space="preserve"> social and professional responsibility are essential outcomes of undergraduate education across the JoMeC disci</w:t>
      </w:r>
      <w:r w:rsidR="00EA712A">
        <w:t>plines. Finally, these</w:t>
      </w:r>
      <w:r>
        <w:t xml:space="preserve"> TLOs emphasise the importance of creative and critical thinking and reflection, w</w:t>
      </w:r>
      <w:r w:rsidR="00522083">
        <w:t>hich are essential</w:t>
      </w:r>
      <w:r>
        <w:t xml:space="preserve"> foundations for future learning and self-efficacy. </w:t>
      </w:r>
    </w:p>
    <w:p w:rsidR="0017439C" w:rsidRDefault="0017439C" w:rsidP="00DF12E0"/>
    <w:p w:rsidR="00DF12E0" w:rsidRDefault="0017439C" w:rsidP="001E72B8">
      <w:r>
        <w:t xml:space="preserve">The JoMeC TLOs plus the expanded, discipline-specific statements for Journalism and Public Relations have been </w:t>
      </w:r>
      <w:r w:rsidR="00493BC0">
        <w:t>e</w:t>
      </w:r>
      <w:r>
        <w:t>ndorsed by JERAA and ANZCA</w:t>
      </w:r>
      <w:r w:rsidR="00381267">
        <w:t xml:space="preserve"> (see &lt;ww.jeraa.org.au/research/218&gt;</w:t>
      </w:r>
      <w:r>
        <w:t xml:space="preserve">. </w:t>
      </w:r>
      <w:r w:rsidR="00EA712A">
        <w:t>A draft TLO statement for Communication and/or Media Studies is in progress.</w:t>
      </w:r>
    </w:p>
    <w:p w:rsidR="0017439C" w:rsidRDefault="0017439C" w:rsidP="004D48F9">
      <w:pPr>
        <w:rPr>
          <w:b/>
        </w:rPr>
      </w:pPr>
    </w:p>
    <w:p w:rsidR="00386CA5" w:rsidRDefault="00386CA5" w:rsidP="00F14F3B">
      <w:pPr>
        <w:pStyle w:val="Heading2"/>
        <w:sectPr w:rsidR="00386CA5" w:rsidSect="00F14F3B">
          <w:pgSz w:w="11907" w:h="16840" w:code="9"/>
          <w:pgMar w:top="1384" w:right="1440" w:bottom="1440" w:left="1440" w:header="720" w:footer="595" w:gutter="0"/>
          <w:cols w:space="720"/>
          <w:docGrid w:linePitch="360"/>
        </w:sectPr>
      </w:pPr>
    </w:p>
    <w:p w:rsidR="00DA3007" w:rsidRPr="0075705A" w:rsidRDefault="00EC23F6" w:rsidP="00F14F3B">
      <w:pPr>
        <w:pStyle w:val="Heading2"/>
      </w:pPr>
      <w:bookmarkStart w:id="15" w:name="_Toc422213331"/>
      <w:bookmarkStart w:id="16" w:name="_Toc422213388"/>
      <w:r w:rsidRPr="0075705A">
        <w:lastRenderedPageBreak/>
        <w:t xml:space="preserve">Building </w:t>
      </w:r>
      <w:r w:rsidR="00C50D91">
        <w:t xml:space="preserve">ongoing resources and </w:t>
      </w:r>
      <w:r w:rsidRPr="0075705A">
        <w:t xml:space="preserve">a sustainable </w:t>
      </w:r>
      <w:r w:rsidR="007407C9" w:rsidRPr="0075705A">
        <w:t>n</w:t>
      </w:r>
      <w:r w:rsidR="00C50D91">
        <w:t>etwork</w:t>
      </w:r>
      <w:bookmarkEnd w:id="15"/>
      <w:bookmarkEnd w:id="16"/>
    </w:p>
    <w:p w:rsidR="002C30B5" w:rsidRDefault="00EC23F6" w:rsidP="00187DA1">
      <w:r>
        <w:t xml:space="preserve">Numerous strategies </w:t>
      </w:r>
      <w:r w:rsidR="002374E1">
        <w:t>have been</w:t>
      </w:r>
      <w:r>
        <w:t xml:space="preserve"> used</w:t>
      </w:r>
      <w:r w:rsidR="002374E1">
        <w:t xml:space="preserve"> to incrementally build a </w:t>
      </w:r>
      <w:r w:rsidR="00674D54">
        <w:t xml:space="preserve">sustainable </w:t>
      </w:r>
      <w:r w:rsidR="002C30B5">
        <w:t>N</w:t>
      </w:r>
      <w:r w:rsidR="002374E1">
        <w:t xml:space="preserve">etwork structure </w:t>
      </w:r>
      <w:r w:rsidR="00C50D91">
        <w:t xml:space="preserve">and learning resources </w:t>
      </w:r>
      <w:r w:rsidR="00964293">
        <w:t>for connecting</w:t>
      </w:r>
      <w:r w:rsidR="002374E1">
        <w:t xml:space="preserve"> scholars and other stakeholders in the JoMeC disciplines</w:t>
      </w:r>
      <w:r w:rsidR="004E2071">
        <w:t xml:space="preserve"> around learning outcomes and related learning and teaching issues</w:t>
      </w:r>
      <w:r w:rsidR="002374E1">
        <w:t xml:space="preserve">. </w:t>
      </w:r>
      <w:r w:rsidR="002C30B5">
        <w:t xml:space="preserve">The web hub at &lt;www.jeraa.org.au/research/218&gt; serves as a lasting resource that provides information about the Network and TLOs, and a tool for connecting with stakeholders. When Dunn first established the JoMeC Network in 2011, she proposed to assist a network of scholars by creating a web hub that would contain a </w:t>
      </w:r>
      <w:r w:rsidR="002C30B5" w:rsidRPr="001D583F">
        <w:t xml:space="preserve">national database of </w:t>
      </w:r>
      <w:r w:rsidR="002C30B5">
        <w:t>degree-level program</w:t>
      </w:r>
      <w:r w:rsidR="00381267">
        <w:t>s in the JoMeC d</w:t>
      </w:r>
      <w:r w:rsidR="002C30B5">
        <w:t>isciplines. That proposal was rendered problematic by the rapid pace of change in degree</w:t>
      </w:r>
      <w:r w:rsidR="002C30B5" w:rsidRPr="001D583F">
        <w:t xml:space="preserve"> structures</w:t>
      </w:r>
      <w:r w:rsidR="002C30B5">
        <w:t>,</w:t>
      </w:r>
      <w:r w:rsidR="002C30B5" w:rsidRPr="001D583F">
        <w:t xml:space="preserve"> </w:t>
      </w:r>
      <w:r w:rsidR="002C30B5">
        <w:t xml:space="preserve">course </w:t>
      </w:r>
      <w:r w:rsidR="002C30B5" w:rsidRPr="001D583F">
        <w:t xml:space="preserve">nomenclatures </w:t>
      </w:r>
      <w:r w:rsidR="002C30B5">
        <w:t>and organisational/departmental units at Australian universities. The Network team instead decided to provide JoMeC scholars</w:t>
      </w:r>
      <w:r w:rsidR="002C30B5" w:rsidRPr="001D583F">
        <w:t xml:space="preserve"> with useful, web-based resources to </w:t>
      </w:r>
      <w:r w:rsidR="002C30B5">
        <w:t>assist them</w:t>
      </w:r>
      <w:r w:rsidR="002C30B5" w:rsidRPr="001D583F">
        <w:t xml:space="preserve"> to </w:t>
      </w:r>
      <w:r w:rsidR="002C30B5">
        <w:t xml:space="preserve">understand the changes brought by the AQF and to </w:t>
      </w:r>
      <w:r w:rsidR="002C30B5" w:rsidRPr="001D583F">
        <w:t xml:space="preserve">evaluate, review and revise their </w:t>
      </w:r>
      <w:r w:rsidR="002C30B5">
        <w:t xml:space="preserve">TLOs and </w:t>
      </w:r>
      <w:r w:rsidR="002C30B5" w:rsidRPr="001D583F">
        <w:t>educational offerings.</w:t>
      </w:r>
      <w:r w:rsidR="002C30B5">
        <w:t xml:space="preserve"> The Network team has </w:t>
      </w:r>
      <w:r w:rsidR="00CD03CB">
        <w:t xml:space="preserve">also </w:t>
      </w:r>
      <w:r w:rsidR="002C30B5">
        <w:t>used the hub and Facebook page to post invitations for stakeholders to join the conversation about TLOs and related issues, submit various types of feedback, contribute to exemplars, and become involved in other activities. The hub includes links to Network team members so that stakeholders can also initiate conversations. ANZCA’s website has included updates about the JoMeC project and links to the web hub. JoMeC’s Facebook page at &lt;</w:t>
      </w:r>
      <w:r w:rsidR="002C30B5" w:rsidRPr="002505BA">
        <w:t>www.facebook.com/aussiejomec</w:t>
      </w:r>
      <w:r w:rsidR="002C30B5">
        <w:t>&gt; supplements the web hub by providing brief updates and marking key points in the Network’s progress. Stakeholders are welcome to use the page to submit content, share ideas and forge contacts.</w:t>
      </w:r>
    </w:p>
    <w:p w:rsidR="002C30B5" w:rsidRDefault="002C30B5" w:rsidP="002C30B5"/>
    <w:p w:rsidR="00560234" w:rsidRDefault="002C30B5" w:rsidP="002C30B5">
      <w:r>
        <w:t>To support the project’s longer-term sustainability</w:t>
      </w:r>
      <w:r w:rsidR="008E5C79">
        <w:rPr>
          <w:spacing w:val="-2"/>
          <w:szCs w:val="24"/>
        </w:rPr>
        <w:t xml:space="preserve">, </w:t>
      </w:r>
      <w:r w:rsidR="00560234" w:rsidRPr="00DD3324">
        <w:rPr>
          <w:spacing w:val="-2"/>
          <w:szCs w:val="24"/>
        </w:rPr>
        <w:t xml:space="preserve">ANZCA </w:t>
      </w:r>
      <w:r w:rsidR="000E0192">
        <w:rPr>
          <w:spacing w:val="-2"/>
          <w:szCs w:val="24"/>
        </w:rPr>
        <w:t xml:space="preserve">and JERAA </w:t>
      </w:r>
      <w:r w:rsidR="008E5C79">
        <w:rPr>
          <w:spacing w:val="-2"/>
          <w:szCs w:val="24"/>
        </w:rPr>
        <w:t xml:space="preserve">have been enlisted </w:t>
      </w:r>
      <w:r w:rsidR="00560234" w:rsidRPr="00DD3324">
        <w:rPr>
          <w:spacing w:val="-2"/>
          <w:szCs w:val="24"/>
        </w:rPr>
        <w:t xml:space="preserve">to oversee the JoMeC Network and </w:t>
      </w:r>
      <w:r>
        <w:rPr>
          <w:spacing w:val="-2"/>
          <w:szCs w:val="24"/>
        </w:rPr>
        <w:t xml:space="preserve">the </w:t>
      </w:r>
      <w:r w:rsidR="00560234" w:rsidRPr="00DD3324">
        <w:rPr>
          <w:spacing w:val="-2"/>
          <w:szCs w:val="24"/>
        </w:rPr>
        <w:t xml:space="preserve">regular review of the TLOs </w:t>
      </w:r>
      <w:r w:rsidR="000E0192">
        <w:rPr>
          <w:spacing w:val="-2"/>
          <w:szCs w:val="24"/>
        </w:rPr>
        <w:t>by discipline-specific Reference G</w:t>
      </w:r>
      <w:r w:rsidR="0004288E" w:rsidRPr="00DD3324">
        <w:rPr>
          <w:spacing w:val="-2"/>
          <w:szCs w:val="24"/>
        </w:rPr>
        <w:t>roups</w:t>
      </w:r>
      <w:r w:rsidR="000E0192">
        <w:rPr>
          <w:spacing w:val="-2"/>
          <w:szCs w:val="24"/>
        </w:rPr>
        <w:t xml:space="preserve"> for Journalism, Communication and/or Media Studies, and </w:t>
      </w:r>
      <w:r w:rsidR="008E5E40">
        <w:rPr>
          <w:spacing w:val="-2"/>
          <w:szCs w:val="24"/>
        </w:rPr>
        <w:t>Public Relations</w:t>
      </w:r>
      <w:r w:rsidR="00560234" w:rsidRPr="00DD3324">
        <w:rPr>
          <w:spacing w:val="-2"/>
          <w:szCs w:val="24"/>
        </w:rPr>
        <w:t xml:space="preserve">. </w:t>
      </w:r>
      <w:r>
        <w:rPr>
          <w:spacing w:val="-2"/>
          <w:szCs w:val="24"/>
        </w:rPr>
        <w:t xml:space="preserve">Discipline </w:t>
      </w:r>
      <w:r w:rsidR="00171328">
        <w:rPr>
          <w:spacing w:val="-2"/>
          <w:szCs w:val="24"/>
        </w:rPr>
        <w:t>Reference G</w:t>
      </w:r>
      <w:r w:rsidR="000E0192">
        <w:rPr>
          <w:spacing w:val="-2"/>
          <w:szCs w:val="24"/>
        </w:rPr>
        <w:t>roups</w:t>
      </w:r>
      <w:r w:rsidR="00560234" w:rsidRPr="00DD3324">
        <w:rPr>
          <w:spacing w:val="-2"/>
          <w:szCs w:val="24"/>
        </w:rPr>
        <w:t xml:space="preserve"> will meet separately and collectively to </w:t>
      </w:r>
      <w:r w:rsidR="003A4CF6">
        <w:rPr>
          <w:spacing w:val="-2"/>
          <w:szCs w:val="24"/>
        </w:rPr>
        <w:t xml:space="preserve">discuss learning and teaching issues and </w:t>
      </w:r>
      <w:r w:rsidR="00560234" w:rsidRPr="00DD3324">
        <w:rPr>
          <w:spacing w:val="-2"/>
          <w:szCs w:val="24"/>
        </w:rPr>
        <w:t>review the</w:t>
      </w:r>
      <w:r w:rsidR="00A95A5E">
        <w:rPr>
          <w:spacing w:val="-2"/>
          <w:szCs w:val="24"/>
        </w:rPr>
        <w:t xml:space="preserve"> TLO statements</w:t>
      </w:r>
      <w:r w:rsidR="000E0192">
        <w:rPr>
          <w:spacing w:val="-2"/>
          <w:szCs w:val="24"/>
        </w:rPr>
        <w:t xml:space="preserve">. They will </w:t>
      </w:r>
      <w:r w:rsidR="00964293">
        <w:rPr>
          <w:spacing w:val="-2"/>
          <w:szCs w:val="24"/>
        </w:rPr>
        <w:t>promote</w:t>
      </w:r>
      <w:r w:rsidR="00560234" w:rsidRPr="00DD3324">
        <w:rPr>
          <w:spacing w:val="-2"/>
          <w:szCs w:val="24"/>
        </w:rPr>
        <w:t xml:space="preserve"> learning and teaching excellence across the Network fields, particularly in terms of the attainment of </w:t>
      </w:r>
      <w:r w:rsidR="00EA56D4">
        <w:rPr>
          <w:spacing w:val="-2"/>
          <w:szCs w:val="24"/>
        </w:rPr>
        <w:t xml:space="preserve">threshold </w:t>
      </w:r>
      <w:r w:rsidR="00560234" w:rsidRPr="00DD3324">
        <w:rPr>
          <w:spacing w:val="-2"/>
          <w:szCs w:val="24"/>
        </w:rPr>
        <w:t xml:space="preserve">learning outcomes. </w:t>
      </w:r>
      <w:r w:rsidR="00855BDB" w:rsidRPr="00DD3324">
        <w:rPr>
          <w:spacing w:val="-2"/>
          <w:szCs w:val="24"/>
        </w:rPr>
        <w:t>T</w:t>
      </w:r>
      <w:r w:rsidR="000303BA">
        <w:rPr>
          <w:spacing w:val="-2"/>
          <w:szCs w:val="24"/>
        </w:rPr>
        <w:t xml:space="preserve">he </w:t>
      </w:r>
      <w:r>
        <w:rPr>
          <w:spacing w:val="-2"/>
          <w:szCs w:val="24"/>
        </w:rPr>
        <w:t>Terms of Reference for the</w:t>
      </w:r>
      <w:r w:rsidR="00855BDB" w:rsidRPr="00DD3324">
        <w:rPr>
          <w:spacing w:val="-2"/>
          <w:szCs w:val="24"/>
        </w:rPr>
        <w:t xml:space="preserve"> </w:t>
      </w:r>
      <w:r w:rsidR="00964293">
        <w:rPr>
          <w:spacing w:val="-2"/>
          <w:szCs w:val="24"/>
        </w:rPr>
        <w:t xml:space="preserve">three </w:t>
      </w:r>
      <w:r w:rsidR="00855BDB" w:rsidRPr="00DD3324">
        <w:rPr>
          <w:spacing w:val="-2"/>
          <w:szCs w:val="24"/>
        </w:rPr>
        <w:t xml:space="preserve">Discipline </w:t>
      </w:r>
      <w:r w:rsidR="00A32FBD" w:rsidRPr="00DD3324">
        <w:rPr>
          <w:spacing w:val="-2"/>
          <w:szCs w:val="24"/>
        </w:rPr>
        <w:t>Reference Group</w:t>
      </w:r>
      <w:r w:rsidR="00855BDB" w:rsidRPr="00DD3324">
        <w:rPr>
          <w:spacing w:val="-2"/>
          <w:szCs w:val="24"/>
        </w:rPr>
        <w:t>s mirror those for the Performance and Creative Arts Discipline Project</w:t>
      </w:r>
      <w:r w:rsidR="00171328">
        <w:rPr>
          <w:spacing w:val="-2"/>
          <w:szCs w:val="24"/>
        </w:rPr>
        <w:t xml:space="preserve"> </w:t>
      </w:r>
      <w:r w:rsidR="000303BA">
        <w:rPr>
          <w:spacing w:val="-2"/>
          <w:szCs w:val="24"/>
        </w:rPr>
        <w:t>(see &lt;</w:t>
      </w:r>
      <w:r w:rsidR="000303BA" w:rsidRPr="000303BA">
        <w:rPr>
          <w:spacing w:val="-2"/>
          <w:szCs w:val="24"/>
        </w:rPr>
        <w:t>www.jeraa.org.au/file/file/Terms%20of%20Reference.pdf</w:t>
      </w:r>
      <w:r w:rsidR="000303BA">
        <w:rPr>
          <w:spacing w:val="-2"/>
          <w:szCs w:val="24"/>
        </w:rPr>
        <w:t>&gt;). A</w:t>
      </w:r>
      <w:r w:rsidR="00D42412">
        <w:t>NZCA</w:t>
      </w:r>
      <w:r w:rsidR="00D740D2">
        <w:t xml:space="preserve"> </w:t>
      </w:r>
      <w:r w:rsidR="000303BA">
        <w:t xml:space="preserve">and JERAA </w:t>
      </w:r>
      <w:r w:rsidR="00D740D2">
        <w:t>have agreed to host sessions at their annual conferences</w:t>
      </w:r>
      <w:r w:rsidR="000E0192">
        <w:t xml:space="preserve">, </w:t>
      </w:r>
      <w:r w:rsidR="00D740D2">
        <w:t>including Discipline</w:t>
      </w:r>
      <w:r w:rsidR="00A32FBD">
        <w:t xml:space="preserve"> Reference Group</w:t>
      </w:r>
      <w:r w:rsidR="00D740D2">
        <w:t xml:space="preserve"> </w:t>
      </w:r>
      <w:r w:rsidR="00EC640A">
        <w:t>m</w:t>
      </w:r>
      <w:r w:rsidR="00D740D2">
        <w:t xml:space="preserve">eetings, </w:t>
      </w:r>
      <w:r w:rsidR="00EC640A">
        <w:t>p</w:t>
      </w:r>
      <w:r w:rsidR="00D740D2">
        <w:t xml:space="preserve">roject </w:t>
      </w:r>
      <w:r w:rsidR="00EC640A">
        <w:t>u</w:t>
      </w:r>
      <w:r w:rsidR="008D32A4">
        <w:t>pdates</w:t>
      </w:r>
      <w:r w:rsidR="00964293">
        <w:t>,</w:t>
      </w:r>
      <w:r w:rsidR="008D32A4">
        <w:t xml:space="preserve"> and </w:t>
      </w:r>
      <w:r w:rsidR="007A5C46">
        <w:t xml:space="preserve">sessions </w:t>
      </w:r>
      <w:r w:rsidR="00D740D2">
        <w:t>to review a</w:t>
      </w:r>
      <w:r w:rsidR="008947B5">
        <w:t xml:space="preserve">nd disseminate revisions to the </w:t>
      </w:r>
      <w:r w:rsidR="00C22DC0">
        <w:t>TLOs</w:t>
      </w:r>
      <w:r w:rsidR="00D740D2">
        <w:t xml:space="preserve">. </w:t>
      </w:r>
    </w:p>
    <w:p w:rsidR="00560234" w:rsidRDefault="00560234" w:rsidP="00286765"/>
    <w:p w:rsidR="00B51253" w:rsidRDefault="004E2071" w:rsidP="00CD03CB">
      <w:r>
        <w:t>JEAA</w:t>
      </w:r>
      <w:r w:rsidR="00B51253">
        <w:t>/JERAA</w:t>
      </w:r>
      <w:r>
        <w:t xml:space="preserve"> created a </w:t>
      </w:r>
      <w:r w:rsidR="00B51253">
        <w:t xml:space="preserve">new executive position at the end of 2013 </w:t>
      </w:r>
      <w:r w:rsidR="00D606B9">
        <w:t>– </w:t>
      </w:r>
      <w:r w:rsidR="0075374E">
        <w:t xml:space="preserve">Vice-President </w:t>
      </w:r>
      <w:r w:rsidR="00E70AD3">
        <w:t>(</w:t>
      </w:r>
      <w:r w:rsidR="0075374E">
        <w:t>Networks</w:t>
      </w:r>
      <w:r w:rsidR="00E70AD3">
        <w:t>)</w:t>
      </w:r>
      <w:r w:rsidR="00D606B9">
        <w:t xml:space="preserve"> –</w:t>
      </w:r>
      <w:r w:rsidR="00B51253">
        <w:t xml:space="preserve"> </w:t>
      </w:r>
      <w:r w:rsidR="009D7646">
        <w:t>with</w:t>
      </w:r>
      <w:r w:rsidR="00B51253">
        <w:t xml:space="preserve"> responsibility for </w:t>
      </w:r>
      <w:r w:rsidR="00B51253" w:rsidRPr="00B51253">
        <w:t>strengthen</w:t>
      </w:r>
      <w:r w:rsidR="00B51253">
        <w:t>ing and sustaining</w:t>
      </w:r>
      <w:r w:rsidR="00B51253" w:rsidRPr="00B51253">
        <w:t xml:space="preserve"> productive linkages with like-minded </w:t>
      </w:r>
      <w:r w:rsidR="00AA77F5">
        <w:t>communitie</w:t>
      </w:r>
      <w:r w:rsidR="00B51253" w:rsidRPr="00B51253">
        <w:t>s.</w:t>
      </w:r>
      <w:r w:rsidR="0075374E">
        <w:t xml:space="preserve"> The JoMeC </w:t>
      </w:r>
      <w:r w:rsidR="00B51253">
        <w:t>Network p</w:t>
      </w:r>
      <w:r w:rsidR="0075374E">
        <w:t xml:space="preserve">roject </w:t>
      </w:r>
      <w:r w:rsidR="00B51253">
        <w:t>forms part of the Vice</w:t>
      </w:r>
      <w:r w:rsidR="00D606B9">
        <w:t>-</w:t>
      </w:r>
      <w:r w:rsidR="00B51253">
        <w:t>President (</w:t>
      </w:r>
      <w:r w:rsidR="00A767A0">
        <w:t>Network</w:t>
      </w:r>
      <w:r w:rsidR="00381267">
        <w:t>s</w:t>
      </w:r>
      <w:r w:rsidR="00B51253">
        <w:t>)’s</w:t>
      </w:r>
      <w:r w:rsidR="007478EC">
        <w:t xml:space="preserve"> portfolio. </w:t>
      </w:r>
      <w:r w:rsidR="00B51253">
        <w:t>This</w:t>
      </w:r>
      <w:r w:rsidR="00666C75">
        <w:t xml:space="preserve"> </w:t>
      </w:r>
      <w:r w:rsidR="000425DB">
        <w:t>network</w:t>
      </w:r>
      <w:r w:rsidR="00661E5B">
        <w:t>ing</w:t>
      </w:r>
      <w:r w:rsidR="00666C75">
        <w:t xml:space="preserve"> </w:t>
      </w:r>
      <w:r w:rsidR="00661E5B">
        <w:t xml:space="preserve">role </w:t>
      </w:r>
      <w:r w:rsidR="00666C75">
        <w:t xml:space="preserve">will </w:t>
      </w:r>
      <w:r w:rsidR="00661E5B">
        <w:t xml:space="preserve">help </w:t>
      </w:r>
      <w:r w:rsidR="00B51253">
        <w:t xml:space="preserve">to </w:t>
      </w:r>
      <w:r w:rsidR="00EC23F6">
        <w:t xml:space="preserve">safeguard the </w:t>
      </w:r>
      <w:r w:rsidR="00B51253">
        <w:t>Network</w:t>
      </w:r>
      <w:r w:rsidR="007A5C46">
        <w:t>’s aims</w:t>
      </w:r>
      <w:r w:rsidR="00661E5B">
        <w:t xml:space="preserve"> and </w:t>
      </w:r>
      <w:r w:rsidR="00EC2676">
        <w:t>share</w:t>
      </w:r>
      <w:r w:rsidR="00B51253">
        <w:t xml:space="preserve"> </w:t>
      </w:r>
      <w:r w:rsidR="00666C75">
        <w:t xml:space="preserve">knowledge </w:t>
      </w:r>
      <w:r w:rsidR="007A5C46">
        <w:t>with</w:t>
      </w:r>
      <w:r w:rsidR="000425DB">
        <w:t xml:space="preserve"> ANZCA </w:t>
      </w:r>
      <w:r w:rsidR="007A5C46">
        <w:t>and JERAA members</w:t>
      </w:r>
      <w:r w:rsidR="00EC23F6">
        <w:t>.</w:t>
      </w:r>
      <w:r w:rsidR="007478EC">
        <w:t xml:space="preserve"> </w:t>
      </w:r>
      <w:r>
        <w:t>The Vice</w:t>
      </w:r>
      <w:r w:rsidR="00D606B9">
        <w:t>-</w:t>
      </w:r>
      <w:r>
        <w:t xml:space="preserve">President (Networks) </w:t>
      </w:r>
      <w:r w:rsidR="00C54F00">
        <w:t xml:space="preserve">will </w:t>
      </w:r>
      <w:r>
        <w:t>maintain the JoMeC web</w:t>
      </w:r>
      <w:r w:rsidR="00B51253">
        <w:t xml:space="preserve"> hub, which ANZCA links to, and implement</w:t>
      </w:r>
      <w:r>
        <w:t xml:space="preserve"> system</w:t>
      </w:r>
      <w:r w:rsidR="007A5C46">
        <w:t xml:space="preserve">s so </w:t>
      </w:r>
      <w:r w:rsidR="00EC2676">
        <w:t xml:space="preserve">both organisations </w:t>
      </w:r>
      <w:r w:rsidR="007A5C46">
        <w:t xml:space="preserve">can </w:t>
      </w:r>
      <w:r>
        <w:t xml:space="preserve">continue to solicit and share learning and teaching resources.  </w:t>
      </w:r>
    </w:p>
    <w:p w:rsidR="00B51253" w:rsidRDefault="00B51253" w:rsidP="00666C75"/>
    <w:p w:rsidR="00DE0F2E" w:rsidRDefault="00B51253" w:rsidP="00CD03CB">
      <w:r>
        <w:t xml:space="preserve">Via these measures, ANZCA </w:t>
      </w:r>
      <w:r w:rsidR="00CD03CB">
        <w:t xml:space="preserve">and JERAA </w:t>
      </w:r>
      <w:r>
        <w:t xml:space="preserve">have committed themselves to the continuing dissemination, use and updating of the project’s outcomes. </w:t>
      </w:r>
      <w:r w:rsidR="007478EC">
        <w:t xml:space="preserve">These measures ensure </w:t>
      </w:r>
      <w:r w:rsidR="00661E5B">
        <w:t xml:space="preserve">ongoing </w:t>
      </w:r>
      <w:r w:rsidR="007478EC">
        <w:t xml:space="preserve">institutional support for the project, making it less dependent on the efforts of individuals. </w:t>
      </w:r>
    </w:p>
    <w:p w:rsidR="002C30B5" w:rsidRDefault="002C30B5" w:rsidP="00666C75"/>
    <w:p w:rsidR="00F14F3B" w:rsidRDefault="00F14F3B" w:rsidP="006515EA">
      <w:pPr>
        <w:pStyle w:val="Heading1"/>
        <w:sectPr w:rsidR="00F14F3B" w:rsidSect="00F14F3B">
          <w:pgSz w:w="11907" w:h="16840" w:code="9"/>
          <w:pgMar w:top="1384" w:right="1440" w:bottom="1440" w:left="1440" w:header="720" w:footer="595" w:gutter="0"/>
          <w:cols w:space="720"/>
          <w:docGrid w:linePitch="360"/>
        </w:sectPr>
      </w:pPr>
    </w:p>
    <w:p w:rsidR="00B12AB3" w:rsidRDefault="00821401" w:rsidP="006515EA">
      <w:pPr>
        <w:pStyle w:val="Heading1"/>
      </w:pPr>
      <w:bookmarkStart w:id="17" w:name="_Toc422213332"/>
      <w:bookmarkStart w:id="18" w:name="_Toc422213389"/>
      <w:r>
        <w:lastRenderedPageBreak/>
        <w:t>Factors contributing to productive networking</w:t>
      </w:r>
      <w:bookmarkEnd w:id="17"/>
      <w:bookmarkEnd w:id="18"/>
    </w:p>
    <w:p w:rsidR="00491602" w:rsidRPr="00A93656" w:rsidRDefault="00B23122" w:rsidP="00674D54">
      <w:pPr>
        <w:rPr>
          <w:szCs w:val="24"/>
        </w:rPr>
      </w:pPr>
      <w:r>
        <w:t>The JoMeC Network</w:t>
      </w:r>
      <w:r w:rsidR="00F95FFE">
        <w:t xml:space="preserve"> employed a range of networking strategies</w:t>
      </w:r>
      <w:r>
        <w:t>.</w:t>
      </w:r>
      <w:r w:rsidR="00F95FFE">
        <w:t xml:space="preserve"> </w:t>
      </w:r>
      <w:r w:rsidR="003A4CF6">
        <w:t xml:space="preserve">Core to the </w:t>
      </w:r>
      <w:r w:rsidR="00381267">
        <w:t xml:space="preserve">team’s </w:t>
      </w:r>
      <w:r w:rsidR="003A4CF6">
        <w:t xml:space="preserve">networking has been </w:t>
      </w:r>
      <w:r w:rsidR="00A93656">
        <w:t>the o</w:t>
      </w:r>
      <w:r w:rsidR="001E1218" w:rsidRPr="00A93656">
        <w:rPr>
          <w:szCs w:val="24"/>
        </w:rPr>
        <w:t>ngoing organisational support from Australia’</w:t>
      </w:r>
      <w:r w:rsidR="00B1605E" w:rsidRPr="00A93656">
        <w:rPr>
          <w:szCs w:val="24"/>
        </w:rPr>
        <w:t>s peak journalism, media and c</w:t>
      </w:r>
      <w:r w:rsidR="00381267">
        <w:rPr>
          <w:szCs w:val="24"/>
        </w:rPr>
        <w:t>ommunication bodies,</w:t>
      </w:r>
      <w:r w:rsidR="001E1218" w:rsidRPr="00A93656">
        <w:rPr>
          <w:szCs w:val="24"/>
        </w:rPr>
        <w:t xml:space="preserve"> </w:t>
      </w:r>
      <w:r w:rsidR="00964293">
        <w:rPr>
          <w:szCs w:val="24"/>
        </w:rPr>
        <w:t>A</w:t>
      </w:r>
      <w:r w:rsidR="001E1218" w:rsidRPr="00A93656">
        <w:rPr>
          <w:szCs w:val="24"/>
        </w:rPr>
        <w:t>NZCA</w:t>
      </w:r>
      <w:r w:rsidR="00964293">
        <w:rPr>
          <w:szCs w:val="24"/>
        </w:rPr>
        <w:t xml:space="preserve"> and JEAA/JERAA</w:t>
      </w:r>
      <w:r w:rsidR="00A93656">
        <w:rPr>
          <w:szCs w:val="24"/>
        </w:rPr>
        <w:t xml:space="preserve">. </w:t>
      </w:r>
      <w:r w:rsidR="00674D54" w:rsidRPr="006B338C">
        <w:t xml:space="preserve">As </w:t>
      </w:r>
      <w:r w:rsidR="00674D54">
        <w:t>was indicat</w:t>
      </w:r>
      <w:r w:rsidR="00674D54" w:rsidRPr="006B338C">
        <w:t>ed in the ‘Methodological innovation’ section above</w:t>
      </w:r>
      <w:r w:rsidR="00674D54">
        <w:t>, key networking strategies have included forums and meetings at conferences, targeted emails, interviews, updates in the JEAA/JERAA newsletter, a JoMeC Network web hub hosted by JEAA/JERAA, and a JoMeC Facebook page. These communications will be supplemented by forthcoming scholarly publications.</w:t>
      </w:r>
    </w:p>
    <w:p w:rsidR="00C463DF" w:rsidRDefault="00C463DF" w:rsidP="00A37012">
      <w:pPr>
        <w:ind w:left="720"/>
      </w:pPr>
    </w:p>
    <w:p w:rsidR="00AF0F56" w:rsidRDefault="00A37012" w:rsidP="00F14F3B">
      <w:pPr>
        <w:pStyle w:val="Heading2"/>
      </w:pPr>
      <w:bookmarkStart w:id="19" w:name="_Toc422213333"/>
      <w:bookmarkStart w:id="20" w:name="_Toc422213390"/>
      <w:r w:rsidRPr="005D6708">
        <w:t>Methods of networking that worked particularly</w:t>
      </w:r>
      <w:r w:rsidR="008846E7" w:rsidRPr="005D6708">
        <w:t xml:space="preserve"> well</w:t>
      </w:r>
      <w:bookmarkEnd w:id="19"/>
      <w:bookmarkEnd w:id="20"/>
      <w:r w:rsidRPr="005D6708">
        <w:t xml:space="preserve"> </w:t>
      </w:r>
    </w:p>
    <w:p w:rsidR="00CD128F" w:rsidRDefault="00C7133D" w:rsidP="006B338C">
      <w:r>
        <w:t xml:space="preserve">The </w:t>
      </w:r>
      <w:r w:rsidR="00381267">
        <w:t xml:space="preserve">project’s </w:t>
      </w:r>
      <w:r w:rsidR="000216F2">
        <w:t xml:space="preserve">two </w:t>
      </w:r>
      <w:r w:rsidR="00AF4C3C">
        <w:t>starting point</w:t>
      </w:r>
      <w:r w:rsidR="001E01A7">
        <w:t>s for networking were</w:t>
      </w:r>
      <w:r w:rsidR="00AF4C3C">
        <w:t xml:space="preserve"> to </w:t>
      </w:r>
      <w:r w:rsidR="00806C8A">
        <w:t xml:space="preserve">enlist support from the </w:t>
      </w:r>
      <w:r w:rsidR="00BD41C7">
        <w:t xml:space="preserve">ANZCA and </w:t>
      </w:r>
      <w:r w:rsidR="00A74886" w:rsidRPr="00165116">
        <w:t>JEAA</w:t>
      </w:r>
      <w:r w:rsidR="00AF4C3C">
        <w:t>/JERAA</w:t>
      </w:r>
      <w:r w:rsidR="00806C8A">
        <w:t xml:space="preserve"> executives</w:t>
      </w:r>
      <w:r w:rsidR="001E01A7">
        <w:t>, then</w:t>
      </w:r>
      <w:r w:rsidR="00DB75F2">
        <w:t xml:space="preserve"> to recruit a Steering Committee</w:t>
      </w:r>
      <w:r w:rsidR="006E0312">
        <w:t xml:space="preserve">. </w:t>
      </w:r>
      <w:r w:rsidR="000216F2">
        <w:t xml:space="preserve">ANZCA and JEAA/JERAA collectively represent </w:t>
      </w:r>
      <w:r w:rsidR="00806C8A">
        <w:t xml:space="preserve">the </w:t>
      </w:r>
      <w:r w:rsidR="000216F2">
        <w:t xml:space="preserve">broader communities of </w:t>
      </w:r>
      <w:r w:rsidR="00806C8A">
        <w:t>JoMeC</w:t>
      </w:r>
      <w:r w:rsidR="000216F2">
        <w:t xml:space="preserve"> scholars. </w:t>
      </w:r>
      <w:r w:rsidR="006E0312">
        <w:t xml:space="preserve">The Steering Committee </w:t>
      </w:r>
      <w:r w:rsidR="006655EF">
        <w:t>provided</w:t>
      </w:r>
      <w:r w:rsidR="006E0312">
        <w:t xml:space="preserve"> learning and teaching leadership </w:t>
      </w:r>
      <w:r w:rsidR="00EF7E6B">
        <w:t>from different JoMeC</w:t>
      </w:r>
      <w:r w:rsidR="006655EF">
        <w:t xml:space="preserve"> fields</w:t>
      </w:r>
      <w:r w:rsidR="00DB75F2">
        <w:t xml:space="preserve">. </w:t>
      </w:r>
      <w:r w:rsidR="00CD128F">
        <w:t xml:space="preserve">The </w:t>
      </w:r>
      <w:r w:rsidR="006E0312">
        <w:t>collective knowledge, experience and connections</w:t>
      </w:r>
      <w:r w:rsidR="001E01A7">
        <w:t xml:space="preserve"> of </w:t>
      </w:r>
      <w:r w:rsidR="006B338C">
        <w:t xml:space="preserve">the two </w:t>
      </w:r>
      <w:r w:rsidR="001E01A7">
        <w:t>executive</w:t>
      </w:r>
      <w:r w:rsidR="006B338C">
        <w:t>s</w:t>
      </w:r>
      <w:r w:rsidR="001E01A7">
        <w:t xml:space="preserve"> and Steering Committee</w:t>
      </w:r>
      <w:r w:rsidR="00381267">
        <w:t xml:space="preserve"> have</w:t>
      </w:r>
      <w:r w:rsidR="00DB75F2">
        <w:t xml:space="preserve"> been critical to</w:t>
      </w:r>
      <w:r w:rsidR="00A93656">
        <w:t xml:space="preserve"> identifying, </w:t>
      </w:r>
      <w:r w:rsidR="00DB75F2">
        <w:t xml:space="preserve">understanding </w:t>
      </w:r>
      <w:r w:rsidR="00A93656">
        <w:t xml:space="preserve">and connecting with </w:t>
      </w:r>
      <w:r w:rsidR="000216F2">
        <w:t xml:space="preserve">diverse </w:t>
      </w:r>
      <w:r w:rsidR="006655EF">
        <w:t xml:space="preserve">JoMeC </w:t>
      </w:r>
      <w:r w:rsidR="00AA77F5">
        <w:t>communities</w:t>
      </w:r>
      <w:r w:rsidR="00755556">
        <w:t xml:space="preserve">. </w:t>
      </w:r>
    </w:p>
    <w:p w:rsidR="008916AA" w:rsidRDefault="008916AA" w:rsidP="00165116"/>
    <w:p w:rsidR="008916AA" w:rsidRDefault="007A77FB" w:rsidP="00CD03CB">
      <w:r>
        <w:t>Backing from</w:t>
      </w:r>
      <w:r w:rsidR="00CD128F">
        <w:t xml:space="preserve"> ANZCA and JEAA/JERAA executives</w:t>
      </w:r>
      <w:r>
        <w:t xml:space="preserve"> has also facilitated the </w:t>
      </w:r>
      <w:r w:rsidR="00CD128F">
        <w:t>Network’s p</w:t>
      </w:r>
      <w:r w:rsidR="00E37081">
        <w:t>resence at plenaries</w:t>
      </w:r>
      <w:r w:rsidR="00977398">
        <w:t xml:space="preserve"> </w:t>
      </w:r>
      <w:r w:rsidR="00D606B9">
        <w:t>and</w:t>
      </w:r>
      <w:r w:rsidR="00977398">
        <w:t xml:space="preserve"> other </w:t>
      </w:r>
      <w:r w:rsidR="00CD128F">
        <w:t xml:space="preserve">sessions in </w:t>
      </w:r>
      <w:r w:rsidR="006655EF">
        <w:t xml:space="preserve">the </w:t>
      </w:r>
      <w:r w:rsidR="00806C8A">
        <w:t xml:space="preserve">annual </w:t>
      </w:r>
      <w:r>
        <w:t xml:space="preserve">mid-year </w:t>
      </w:r>
      <w:r w:rsidR="006655EF">
        <w:t>ANZCA conferences</w:t>
      </w:r>
      <w:r w:rsidR="00E37081">
        <w:t xml:space="preserve"> </w:t>
      </w:r>
      <w:r w:rsidR="006655EF">
        <w:t xml:space="preserve">and </w:t>
      </w:r>
      <w:r w:rsidR="00CD03CB">
        <w:t xml:space="preserve">annual </w:t>
      </w:r>
      <w:r>
        <w:t>end-of-year</w:t>
      </w:r>
      <w:r w:rsidR="00E37081">
        <w:t xml:space="preserve"> </w:t>
      </w:r>
      <w:r w:rsidR="006655EF">
        <w:t>JEAA/JERAA conferences</w:t>
      </w:r>
      <w:r w:rsidR="00806C8A">
        <w:t xml:space="preserve">. </w:t>
      </w:r>
      <w:r w:rsidR="00CD03CB">
        <w:t xml:space="preserve">Participation in these </w:t>
      </w:r>
      <w:r w:rsidR="00DC359F">
        <w:t>conferences has</w:t>
      </w:r>
      <w:r w:rsidR="00C7133D">
        <w:t xml:space="preserve"> </w:t>
      </w:r>
      <w:r w:rsidR="00CD03CB">
        <w:t xml:space="preserve">furnished </w:t>
      </w:r>
      <w:r w:rsidR="00977398">
        <w:t>the JoMeC Ne</w:t>
      </w:r>
      <w:r w:rsidR="00381267">
        <w:t>twork with opportunities to connect</w:t>
      </w:r>
      <w:r w:rsidR="00977398">
        <w:t xml:space="preserve"> and exchange ideas with individuals </w:t>
      </w:r>
      <w:r w:rsidR="00806C8A">
        <w:t xml:space="preserve">from a range of fields, </w:t>
      </w:r>
      <w:r w:rsidR="00977398">
        <w:t xml:space="preserve">who may not </w:t>
      </w:r>
      <w:r w:rsidR="00806C8A">
        <w:t xml:space="preserve">otherwise </w:t>
      </w:r>
      <w:r w:rsidR="00977398">
        <w:t xml:space="preserve">have </w:t>
      </w:r>
      <w:r w:rsidR="00D65E8D">
        <w:t xml:space="preserve">had </w:t>
      </w:r>
      <w:r w:rsidR="00977398">
        <w:t xml:space="preserve">the time or inclination to respond to written correspondence or </w:t>
      </w:r>
      <w:r w:rsidR="004A0220">
        <w:t>to attend</w:t>
      </w:r>
      <w:r w:rsidR="00977398">
        <w:t xml:space="preserve"> stand-alone forums about </w:t>
      </w:r>
      <w:r w:rsidR="004A0220">
        <w:t>discipline learning standards and TLO statements</w:t>
      </w:r>
      <w:r w:rsidR="00977398">
        <w:t xml:space="preserve">. The </w:t>
      </w:r>
      <w:r w:rsidR="004A0220">
        <w:t xml:space="preserve">nature of </w:t>
      </w:r>
      <w:r w:rsidR="00977398">
        <w:t>face-to-face particip</w:t>
      </w:r>
      <w:r w:rsidR="00E37081">
        <w:t xml:space="preserve">ation of these conferences </w:t>
      </w:r>
      <w:r w:rsidR="00977398">
        <w:t>enabled greater immediacy and more conversa</w:t>
      </w:r>
      <w:r w:rsidR="00D65E8D">
        <w:t xml:space="preserve">tional dynamics compared to </w:t>
      </w:r>
      <w:r w:rsidR="00977398">
        <w:t>text-based correspondence</w:t>
      </w:r>
      <w:r w:rsidR="00590114">
        <w:t>,</w:t>
      </w:r>
      <w:r w:rsidR="00D65E8D">
        <w:t xml:space="preserve"> such as mail</w:t>
      </w:r>
      <w:r w:rsidR="00381267">
        <w:t>-</w:t>
      </w:r>
      <w:r w:rsidR="00D65E8D">
        <w:t xml:space="preserve">outs, emails, </w:t>
      </w:r>
      <w:r w:rsidR="00806C8A">
        <w:t>or</w:t>
      </w:r>
      <w:r w:rsidR="00C7133D">
        <w:t xml:space="preserve"> </w:t>
      </w:r>
      <w:r w:rsidR="00D65E8D">
        <w:t>web-based resources</w:t>
      </w:r>
      <w:r w:rsidR="00977398">
        <w:t xml:space="preserve">. </w:t>
      </w:r>
    </w:p>
    <w:p w:rsidR="00BD41C7" w:rsidRDefault="00BD41C7" w:rsidP="00165116"/>
    <w:p w:rsidR="008153F6" w:rsidRDefault="00381267" w:rsidP="00883942">
      <w:r>
        <w:t xml:space="preserve">The </w:t>
      </w:r>
      <w:r w:rsidR="00C7133D">
        <w:t xml:space="preserve">Network </w:t>
      </w:r>
      <w:r w:rsidR="008153F6">
        <w:t>team also so</w:t>
      </w:r>
      <w:r w:rsidR="00DC359F">
        <w:t>ught input and advice from stakeholders</w:t>
      </w:r>
      <w:r w:rsidR="008153F6">
        <w:t xml:space="preserve"> in </w:t>
      </w:r>
      <w:r w:rsidR="00883942">
        <w:t xml:space="preserve">Australian </w:t>
      </w:r>
      <w:r w:rsidR="008153F6">
        <w:t xml:space="preserve">universities </w:t>
      </w:r>
      <w:r w:rsidR="00DC359F">
        <w:t xml:space="preserve">and industry </w:t>
      </w:r>
      <w:r w:rsidR="008153F6">
        <w:t xml:space="preserve">known to be conducting research </w:t>
      </w:r>
      <w:r w:rsidR="00DC359F">
        <w:t xml:space="preserve">or projects </w:t>
      </w:r>
      <w:r w:rsidR="00E37081">
        <w:t>int</w:t>
      </w:r>
      <w:r w:rsidR="00883942">
        <w:t>o related</w:t>
      </w:r>
      <w:r w:rsidR="008153F6">
        <w:t xml:space="preserve"> areas. </w:t>
      </w:r>
      <w:r w:rsidR="00E37081">
        <w:t xml:space="preserve">For example, </w:t>
      </w:r>
      <w:r w:rsidR="006F71F6">
        <w:t xml:space="preserve">the </w:t>
      </w:r>
      <w:r w:rsidR="008153F6">
        <w:t>Journalism</w:t>
      </w:r>
      <w:r w:rsidR="006F71F6">
        <w:t xml:space="preserve"> field</w:t>
      </w:r>
      <w:r w:rsidR="00883942">
        <w:t xml:space="preserve">, the </w:t>
      </w:r>
      <w:r w:rsidR="008153F6">
        <w:t>Network liaised with the multi-university team conducting the ‘</w:t>
      </w:r>
      <w:r w:rsidR="00DC359F">
        <w:t>Journalism curriculum renewal: B</w:t>
      </w:r>
      <w:r w:rsidR="008153F6">
        <w:t>alancing tertiary expectations and industry needs in a technological environment’ project, funded by the Office for Learning and</w:t>
      </w:r>
      <w:r w:rsidR="00883942">
        <w:t xml:space="preserve"> Teaching (OLT). The </w:t>
      </w:r>
      <w:r w:rsidR="008153F6">
        <w:t xml:space="preserve">‘Journalism curriculum renewal’ </w:t>
      </w:r>
      <w:r w:rsidR="00DC359F">
        <w:t>group</w:t>
      </w:r>
      <w:r w:rsidR="00883942">
        <w:t xml:space="preserve"> was</w:t>
      </w:r>
      <w:r w:rsidR="008153F6">
        <w:t xml:space="preserve"> also involved in </w:t>
      </w:r>
      <w:r w:rsidR="00E37081">
        <w:t>plenaries</w:t>
      </w:r>
      <w:r w:rsidR="009B59BA">
        <w:t xml:space="preserve"> with the</w:t>
      </w:r>
      <w:r w:rsidR="008153F6">
        <w:t xml:space="preserve"> Network</w:t>
      </w:r>
      <w:r w:rsidR="00DC359F">
        <w:t xml:space="preserve"> team </w:t>
      </w:r>
      <w:r w:rsidR="00E37081">
        <w:t>at</w:t>
      </w:r>
      <w:r w:rsidR="008153F6">
        <w:t xml:space="preserve"> the </w:t>
      </w:r>
      <w:r w:rsidR="00E37081">
        <w:t>2012 JEAA Conference and</w:t>
      </w:r>
      <w:r w:rsidR="008153F6">
        <w:t xml:space="preserve"> 2013 ANZCA Conference.</w:t>
      </w:r>
    </w:p>
    <w:p w:rsidR="008153F6" w:rsidRDefault="008153F6" w:rsidP="00AF0F56"/>
    <w:p w:rsidR="00386CA5" w:rsidRDefault="004A0220" w:rsidP="00A87BEB">
      <w:r>
        <w:t xml:space="preserve">Despite the reach of the ANZCA and JEAA/JERAA conferences, such meetings alone can only bring together a limited number of people. </w:t>
      </w:r>
      <w:r w:rsidR="000216F2">
        <w:t xml:space="preserve">Written </w:t>
      </w:r>
      <w:r w:rsidR="00D15C40">
        <w:t>mail,</w:t>
      </w:r>
      <w:r>
        <w:t xml:space="preserve"> email </w:t>
      </w:r>
      <w:r w:rsidR="000216F2">
        <w:t>correspond</w:t>
      </w:r>
      <w:r>
        <w:t>enc</w:t>
      </w:r>
      <w:r w:rsidR="00C7133D">
        <w:t xml:space="preserve">e and telephone calls have </w:t>
      </w:r>
      <w:r w:rsidR="00D15C40">
        <w:t>been</w:t>
      </w:r>
      <w:r w:rsidR="000216F2">
        <w:t xml:space="preserve"> important tool</w:t>
      </w:r>
      <w:r>
        <w:t>s</w:t>
      </w:r>
      <w:r w:rsidR="006F71F6">
        <w:t xml:space="preserve"> for reaching </w:t>
      </w:r>
      <w:r w:rsidR="000216F2">
        <w:t>programs</w:t>
      </w:r>
      <w:r>
        <w:t xml:space="preserve"> </w:t>
      </w:r>
      <w:r w:rsidR="006F71F6">
        <w:t xml:space="preserve">leaders </w:t>
      </w:r>
      <w:r>
        <w:t>at Australian</w:t>
      </w:r>
      <w:r w:rsidR="000216F2">
        <w:t xml:space="preserve"> universities and other stakeho</w:t>
      </w:r>
      <w:r>
        <w:t xml:space="preserve">lder </w:t>
      </w:r>
      <w:r w:rsidR="00C7133D">
        <w:t>organisations</w:t>
      </w:r>
      <w:r>
        <w:t>, such as professional associations</w:t>
      </w:r>
      <w:r w:rsidR="000216F2">
        <w:t>, unions and</w:t>
      </w:r>
      <w:r>
        <w:t xml:space="preserve"> employers</w:t>
      </w:r>
      <w:r w:rsidR="000216F2">
        <w:t xml:space="preserve">. </w:t>
      </w:r>
      <w:r w:rsidR="003A518F">
        <w:t xml:space="preserve">Hundreds of letters and emails </w:t>
      </w:r>
      <w:r w:rsidR="004C0356">
        <w:t>were sent to stakeholders to invite</w:t>
      </w:r>
      <w:r w:rsidR="003A518F">
        <w:t xml:space="preserve"> their attendance at events, </w:t>
      </w:r>
      <w:r w:rsidR="004C0356">
        <w:t xml:space="preserve">encourage their </w:t>
      </w:r>
      <w:r w:rsidR="003A518F">
        <w:t>participation in formulating the TLO statements, and</w:t>
      </w:r>
      <w:r w:rsidR="006F71F6">
        <w:t>/or</w:t>
      </w:r>
      <w:r w:rsidR="003A518F">
        <w:t xml:space="preserve"> </w:t>
      </w:r>
      <w:r w:rsidR="004C0356">
        <w:t xml:space="preserve">provide </w:t>
      </w:r>
      <w:r w:rsidR="003A518F">
        <w:t>updates on the Network’s progress.</w:t>
      </w:r>
      <w:r w:rsidR="004C0356">
        <w:t xml:space="preserve"> </w:t>
      </w:r>
      <w:r w:rsidR="00A87BEB">
        <w:t>When connecting with industry stakeholders, it was generally most effective to deal with individuals who had some experience in or responsibility for training.</w:t>
      </w:r>
    </w:p>
    <w:p w:rsidR="000216F2" w:rsidRDefault="00DC359F" w:rsidP="00A87BEB">
      <w:r>
        <w:lastRenderedPageBreak/>
        <w:t>T</w:t>
      </w:r>
      <w:r w:rsidR="00E37081">
        <w:t xml:space="preserve">he </w:t>
      </w:r>
      <w:r w:rsidR="004C0356">
        <w:t xml:space="preserve">thousands of academics who teach in the </w:t>
      </w:r>
      <w:r w:rsidR="00806C8A">
        <w:t>JoMeC</w:t>
      </w:r>
      <w:r w:rsidR="004C0356">
        <w:t xml:space="preserve"> fields </w:t>
      </w:r>
      <w:r>
        <w:t xml:space="preserve">are </w:t>
      </w:r>
      <w:r w:rsidR="00806C8A">
        <w:t>scattered across</w:t>
      </w:r>
      <w:r w:rsidR="004C0356">
        <w:t xml:space="preserve"> different faculties and schools in 3</w:t>
      </w:r>
      <w:r w:rsidR="00F73578">
        <w:t>8</w:t>
      </w:r>
      <w:r w:rsidR="004C0356">
        <w:t xml:space="preserve"> universities, </w:t>
      </w:r>
      <w:r>
        <w:t xml:space="preserve">so </w:t>
      </w:r>
      <w:r w:rsidR="004C0356">
        <w:t>most of these letters and emails were addressed</w:t>
      </w:r>
      <w:r w:rsidR="00806C8A">
        <w:t xml:space="preserve"> to deans, heads of programs or</w:t>
      </w:r>
      <w:r w:rsidR="004C0356">
        <w:t xml:space="preserve"> similar leaders, with the aim that they would circulate the information among relevant staff at their institutions.</w:t>
      </w:r>
      <w:r w:rsidR="00D15C40">
        <w:t xml:space="preserve"> Telephone calls supplemented these written communications, particularly when in</w:t>
      </w:r>
      <w:r w:rsidR="00A87BEB">
        <w:t>-depth</w:t>
      </w:r>
      <w:r w:rsidR="00D15C40">
        <w:t xml:space="preserve"> conversations were required.</w:t>
      </w:r>
    </w:p>
    <w:p w:rsidR="00590114" w:rsidRDefault="00590114" w:rsidP="00AF0F56"/>
    <w:p w:rsidR="00D15C40" w:rsidRDefault="00DC359F" w:rsidP="00870DEE">
      <w:r>
        <w:t xml:space="preserve">Web-based resources </w:t>
      </w:r>
      <w:r w:rsidR="00C7133D">
        <w:t xml:space="preserve">have </w:t>
      </w:r>
      <w:r w:rsidR="004A0220">
        <w:t xml:space="preserve">boosted the depth and breadth of communications with stakeholders. </w:t>
      </w:r>
      <w:r w:rsidR="007A77FB">
        <w:t>Since their launch in late 2013, t</w:t>
      </w:r>
      <w:r w:rsidR="00821E27">
        <w:t xml:space="preserve">he </w:t>
      </w:r>
      <w:r w:rsidR="007A77FB">
        <w:t>N</w:t>
      </w:r>
      <w:r w:rsidR="00821E27">
        <w:t>etwork</w:t>
      </w:r>
      <w:r w:rsidR="007A77FB">
        <w:t>’s</w:t>
      </w:r>
      <w:r w:rsidR="00821E27">
        <w:t xml:space="preserve"> web</w:t>
      </w:r>
      <w:r w:rsidR="00C7133D">
        <w:t xml:space="preserve"> hub</w:t>
      </w:r>
      <w:r w:rsidR="00821E27">
        <w:t xml:space="preserve"> and Facebook page </w:t>
      </w:r>
      <w:r w:rsidR="007A77FB">
        <w:t xml:space="preserve">have </w:t>
      </w:r>
      <w:r w:rsidR="00821E27">
        <w:t>provide</w:t>
      </w:r>
      <w:r w:rsidR="007A77FB">
        <w:t>d</w:t>
      </w:r>
      <w:r w:rsidR="00821E27">
        <w:t xml:space="preserve"> a 24</w:t>
      </w:r>
      <w:r w:rsidR="00AE3E4D">
        <w:t>/7 system for providing information and soliciting feedback from</w:t>
      </w:r>
      <w:r w:rsidR="00821E27">
        <w:t xml:space="preserve"> stakeholders</w:t>
      </w:r>
      <w:r w:rsidR="00C14C4D">
        <w:t xml:space="preserve">, thus promoting two-way conversations. </w:t>
      </w:r>
      <w:r w:rsidR="00D15C40">
        <w:t xml:space="preserve">The web hub </w:t>
      </w:r>
      <w:r w:rsidR="001F25B6">
        <w:t>has been</w:t>
      </w:r>
      <w:r w:rsidR="00D15C40">
        <w:t xml:space="preserve"> regularly referred to in letters, emails and telephone conversations. Rather than overwhelm stakeholders with large amounts of </w:t>
      </w:r>
      <w:r w:rsidR="00AE3E4D">
        <w:t>information</w:t>
      </w:r>
      <w:r w:rsidR="00796B08">
        <w:t xml:space="preserve"> in documents or conversations</w:t>
      </w:r>
      <w:r w:rsidR="00981337">
        <w:t>, it has been</w:t>
      </w:r>
      <w:r w:rsidR="00D15C40">
        <w:t xml:space="preserve"> helpful to </w:t>
      </w:r>
      <w:r w:rsidR="00E20D99">
        <w:t>point</w:t>
      </w:r>
      <w:r w:rsidR="00AE3E4D">
        <w:t xml:space="preserve"> them to </w:t>
      </w:r>
      <w:r w:rsidR="00D15C40">
        <w:t>the web hub</w:t>
      </w:r>
      <w:r w:rsidR="00AE3E4D">
        <w:t xml:space="preserve"> so </w:t>
      </w:r>
      <w:r w:rsidR="00796B08">
        <w:t>they could</w:t>
      </w:r>
      <w:r w:rsidR="00AE3E4D">
        <w:t xml:space="preserve"> find</w:t>
      </w:r>
      <w:r w:rsidR="00796B08">
        <w:t xml:space="preserve"> as muc</w:t>
      </w:r>
      <w:r w:rsidR="00AE3E4D">
        <w:t xml:space="preserve">h information as </w:t>
      </w:r>
      <w:r>
        <w:t>needed about</w:t>
      </w:r>
      <w:r w:rsidR="00796B08">
        <w:t xml:space="preserve"> the p</w:t>
      </w:r>
      <w:r w:rsidR="00AE3E4D">
        <w:t xml:space="preserve">roject’s history, purpose, </w:t>
      </w:r>
      <w:r w:rsidR="00796B08">
        <w:t>members, methodologies, progress and out</w:t>
      </w:r>
      <w:r w:rsidR="00870DEE">
        <w:t>put</w:t>
      </w:r>
      <w:r w:rsidR="00796B08">
        <w:t>s.</w:t>
      </w:r>
      <w:r w:rsidR="00D15C40">
        <w:t xml:space="preserve"> </w:t>
      </w:r>
    </w:p>
    <w:p w:rsidR="008E4581" w:rsidRDefault="008E4581" w:rsidP="00AF0F56"/>
    <w:p w:rsidR="008E4581" w:rsidRDefault="008E4581" w:rsidP="00E617C8">
      <w:r>
        <w:t xml:space="preserve">Scholarly publications are also in progress, exploring the JoMeC </w:t>
      </w:r>
      <w:r w:rsidR="00E617C8">
        <w:t xml:space="preserve">Network </w:t>
      </w:r>
      <w:r>
        <w:t xml:space="preserve">project itself and the complexity of developing nationally applicable TLOs to diverse discipline clusters. These </w:t>
      </w:r>
      <w:r w:rsidR="00E20D99">
        <w:t xml:space="preserve">publications </w:t>
      </w:r>
      <w:r>
        <w:t xml:space="preserve">will </w:t>
      </w:r>
      <w:r w:rsidR="00E617C8">
        <w:t xml:space="preserve">inform a wider audience </w:t>
      </w:r>
      <w:r>
        <w:t xml:space="preserve">about the project’s goals, methods </w:t>
      </w:r>
      <w:r w:rsidR="00E617C8">
        <w:t>and outcomes</w:t>
      </w:r>
      <w:r>
        <w:t>.</w:t>
      </w:r>
    </w:p>
    <w:p w:rsidR="005839F9" w:rsidRDefault="005839F9" w:rsidP="00AF0F56"/>
    <w:p w:rsidR="008916AA" w:rsidRDefault="00A37012" w:rsidP="00F14F3B">
      <w:pPr>
        <w:pStyle w:val="Heading2"/>
      </w:pPr>
      <w:bookmarkStart w:id="21" w:name="_Toc422213334"/>
      <w:bookmarkStart w:id="22" w:name="_Toc422213391"/>
      <w:r w:rsidRPr="005D6708">
        <w:t xml:space="preserve">Recommended </w:t>
      </w:r>
      <w:r w:rsidR="00E02B14" w:rsidRPr="005D6708">
        <w:t>methods of networking</w:t>
      </w:r>
      <w:bookmarkEnd w:id="21"/>
      <w:bookmarkEnd w:id="22"/>
    </w:p>
    <w:p w:rsidR="0083082E" w:rsidRPr="00386CA5" w:rsidRDefault="007E62C5" w:rsidP="002779EB">
      <w:pPr>
        <w:spacing w:after="120"/>
        <w:rPr>
          <w:szCs w:val="24"/>
        </w:rPr>
      </w:pPr>
      <w:r>
        <w:t>Based on the experiences of t</w:t>
      </w:r>
      <w:r w:rsidR="00DF3A89">
        <w:t xml:space="preserve">he JoMeC Network </w:t>
      </w:r>
      <w:r>
        <w:t xml:space="preserve">project, the </w:t>
      </w:r>
      <w:r w:rsidR="00DF3A89">
        <w:t>team recommend</w:t>
      </w:r>
      <w:r>
        <w:t>s a mix of networking methods. Effective combinations include face-to-face meetings with communication via internet</w:t>
      </w:r>
      <w:r w:rsidR="008916AA">
        <w:t>, emails and telephone conversations</w:t>
      </w:r>
      <w:r>
        <w:t>.</w:t>
      </w:r>
      <w:r w:rsidR="008916AA">
        <w:t xml:space="preserve"> </w:t>
      </w:r>
      <w:r>
        <w:t>The JoMeC Network opted for networking events within c</w:t>
      </w:r>
      <w:r w:rsidR="00041525">
        <w:t>onferences or events</w:t>
      </w:r>
      <w:r>
        <w:t xml:space="preserve"> that attract large numbers of stakeholders in their own right, in order </w:t>
      </w:r>
      <w:r w:rsidR="00041525">
        <w:t>connect</w:t>
      </w:r>
      <w:r>
        <w:t xml:space="preserve"> with stakeholders who otherwise may not have engaged in </w:t>
      </w:r>
      <w:r w:rsidR="008B2EC6">
        <w:t>the process. Such meetings, however, do</w:t>
      </w:r>
      <w:r w:rsidR="00041525">
        <w:t xml:space="preserve"> not have the benefits of </w:t>
      </w:r>
      <w:r>
        <w:t>stand-alone gatherings</w:t>
      </w:r>
      <w:r w:rsidR="008B2EC6">
        <w:t>, which can</w:t>
      </w:r>
      <w:r w:rsidR="00041525">
        <w:t xml:space="preserve"> enable</w:t>
      </w:r>
      <w:r w:rsidR="00EE2B63">
        <w:t xml:space="preserve"> greater time for discussions or</w:t>
      </w:r>
      <w:r>
        <w:t xml:space="preserve"> a more intense focus on targeted agendas. Emails, telephone calls </w:t>
      </w:r>
      <w:r w:rsidR="00DC359F">
        <w:t xml:space="preserve">and web-based </w:t>
      </w:r>
      <w:r w:rsidR="00981337">
        <w:t>communications</w:t>
      </w:r>
      <w:r w:rsidR="00DC359F">
        <w:t xml:space="preserve"> extend</w:t>
      </w:r>
      <w:r>
        <w:t xml:space="preserve"> the reach of projects beyond the limited numbers who can attend meetings</w:t>
      </w:r>
      <w:r w:rsidR="00307AA9">
        <w:t xml:space="preserve"> and allow more focussed </w:t>
      </w:r>
      <w:r w:rsidR="002779EB">
        <w:t>conversations</w:t>
      </w:r>
      <w:r>
        <w:t>.</w:t>
      </w:r>
      <w:r w:rsidR="00EE2B63">
        <w:t xml:space="preserve"> </w:t>
      </w:r>
      <w:r w:rsidR="00292E5F">
        <w:t xml:space="preserve">With the benefit of hindsight, </w:t>
      </w:r>
      <w:r w:rsidR="0033022B">
        <w:t xml:space="preserve">changes that </w:t>
      </w:r>
      <w:r w:rsidR="00292E5F">
        <w:t xml:space="preserve">the Network team would have </w:t>
      </w:r>
      <w:r w:rsidR="0033022B" w:rsidRPr="00386CA5">
        <w:rPr>
          <w:szCs w:val="24"/>
        </w:rPr>
        <w:t xml:space="preserve">made to </w:t>
      </w:r>
      <w:r w:rsidR="0083082E" w:rsidRPr="00386CA5">
        <w:rPr>
          <w:szCs w:val="24"/>
        </w:rPr>
        <w:t xml:space="preserve">its networking strategy </w:t>
      </w:r>
      <w:r w:rsidR="0033022B" w:rsidRPr="00386CA5">
        <w:rPr>
          <w:szCs w:val="24"/>
        </w:rPr>
        <w:t xml:space="preserve">would have been </w:t>
      </w:r>
      <w:r w:rsidR="0083082E" w:rsidRPr="00386CA5">
        <w:rPr>
          <w:szCs w:val="24"/>
        </w:rPr>
        <w:t>to:</w:t>
      </w:r>
    </w:p>
    <w:p w:rsidR="00273406" w:rsidRPr="00386CA5" w:rsidRDefault="00307AA9" w:rsidP="00307AA9">
      <w:pPr>
        <w:numPr>
          <w:ilvl w:val="0"/>
          <w:numId w:val="33"/>
        </w:numPr>
        <w:spacing w:after="120"/>
        <w:rPr>
          <w:szCs w:val="24"/>
        </w:rPr>
      </w:pPr>
      <w:r w:rsidRPr="00386CA5">
        <w:rPr>
          <w:szCs w:val="24"/>
        </w:rPr>
        <w:t>D</w:t>
      </w:r>
      <w:r w:rsidR="00041525" w:rsidRPr="00386CA5">
        <w:rPr>
          <w:szCs w:val="24"/>
        </w:rPr>
        <w:t>evelop its</w:t>
      </w:r>
      <w:r w:rsidR="00273406" w:rsidRPr="00386CA5">
        <w:rPr>
          <w:szCs w:val="24"/>
        </w:rPr>
        <w:t xml:space="preserve"> web hub</w:t>
      </w:r>
      <w:r w:rsidRPr="00386CA5">
        <w:rPr>
          <w:szCs w:val="24"/>
        </w:rPr>
        <w:t xml:space="preserve"> earlier</w:t>
      </w:r>
      <w:r w:rsidR="00273406" w:rsidRPr="00386CA5">
        <w:rPr>
          <w:szCs w:val="24"/>
        </w:rPr>
        <w:t>, to provide information a</w:t>
      </w:r>
      <w:r w:rsidRPr="00386CA5">
        <w:rPr>
          <w:szCs w:val="24"/>
        </w:rPr>
        <w:t>nd updates, as well as increase</w:t>
      </w:r>
      <w:r w:rsidR="00273406" w:rsidRPr="00386CA5">
        <w:rPr>
          <w:szCs w:val="24"/>
        </w:rPr>
        <w:t xml:space="preserve"> opportunities for connections between the JoMeC Network team and stakeholders;</w:t>
      </w:r>
    </w:p>
    <w:p w:rsidR="00833749" w:rsidRPr="00386CA5" w:rsidRDefault="002779EB" w:rsidP="002779EB">
      <w:pPr>
        <w:numPr>
          <w:ilvl w:val="0"/>
          <w:numId w:val="33"/>
        </w:numPr>
        <w:spacing w:after="120"/>
        <w:rPr>
          <w:szCs w:val="24"/>
        </w:rPr>
      </w:pPr>
      <w:r w:rsidRPr="00386CA5">
        <w:rPr>
          <w:szCs w:val="24"/>
        </w:rPr>
        <w:t>Communicate more frequently via</w:t>
      </w:r>
      <w:r w:rsidR="00870DEE" w:rsidRPr="00386CA5">
        <w:rPr>
          <w:szCs w:val="24"/>
        </w:rPr>
        <w:t xml:space="preserve"> the</w:t>
      </w:r>
      <w:r w:rsidR="00041525" w:rsidRPr="00386CA5">
        <w:rPr>
          <w:szCs w:val="24"/>
        </w:rPr>
        <w:t xml:space="preserve"> </w:t>
      </w:r>
      <w:r w:rsidR="00273406" w:rsidRPr="00386CA5">
        <w:rPr>
          <w:szCs w:val="24"/>
        </w:rPr>
        <w:t xml:space="preserve">email discussion groups that </w:t>
      </w:r>
      <w:r w:rsidR="00DC359F" w:rsidRPr="00386CA5">
        <w:rPr>
          <w:szCs w:val="24"/>
        </w:rPr>
        <w:t xml:space="preserve">have been established by </w:t>
      </w:r>
      <w:r w:rsidR="00273406" w:rsidRPr="00386CA5">
        <w:rPr>
          <w:szCs w:val="24"/>
        </w:rPr>
        <w:t xml:space="preserve">different discipline communities </w:t>
      </w:r>
      <w:r w:rsidR="00DC359F" w:rsidRPr="00386CA5">
        <w:rPr>
          <w:szCs w:val="24"/>
        </w:rPr>
        <w:t>for discussions relating to</w:t>
      </w:r>
      <w:r w:rsidR="00273406" w:rsidRPr="00386CA5">
        <w:rPr>
          <w:szCs w:val="24"/>
        </w:rPr>
        <w:t xml:space="preserve"> education and research;</w:t>
      </w:r>
    </w:p>
    <w:p w:rsidR="00273406" w:rsidRPr="00386CA5" w:rsidRDefault="00307AA9" w:rsidP="00307AA9">
      <w:pPr>
        <w:numPr>
          <w:ilvl w:val="0"/>
          <w:numId w:val="33"/>
        </w:numPr>
        <w:spacing w:after="120"/>
        <w:rPr>
          <w:szCs w:val="24"/>
        </w:rPr>
      </w:pPr>
      <w:r w:rsidRPr="00386CA5">
        <w:rPr>
          <w:szCs w:val="24"/>
        </w:rPr>
        <w:t>Creat</w:t>
      </w:r>
      <w:r w:rsidR="0083082E" w:rsidRPr="00386CA5">
        <w:rPr>
          <w:szCs w:val="24"/>
        </w:rPr>
        <w:t>e</w:t>
      </w:r>
      <w:r w:rsidR="00273406" w:rsidRPr="00386CA5">
        <w:rPr>
          <w:szCs w:val="24"/>
        </w:rPr>
        <w:t xml:space="preserve"> a brief news</w:t>
      </w:r>
      <w:r w:rsidR="00DC359F" w:rsidRPr="00386CA5">
        <w:rPr>
          <w:szCs w:val="24"/>
        </w:rPr>
        <w:t>letter</w:t>
      </w:r>
      <w:r w:rsidR="00273406" w:rsidRPr="00386CA5">
        <w:rPr>
          <w:szCs w:val="24"/>
        </w:rPr>
        <w:t xml:space="preserve"> that could be circulated at suitable intervals via an email subscription list, </w:t>
      </w:r>
      <w:r w:rsidR="00F72A4A" w:rsidRPr="00386CA5">
        <w:rPr>
          <w:szCs w:val="24"/>
        </w:rPr>
        <w:t>existing</w:t>
      </w:r>
      <w:r w:rsidR="00273406" w:rsidRPr="00386CA5">
        <w:rPr>
          <w:szCs w:val="24"/>
        </w:rPr>
        <w:t xml:space="preserve"> discipline</w:t>
      </w:r>
      <w:r w:rsidR="00F72A4A" w:rsidRPr="00386CA5">
        <w:rPr>
          <w:szCs w:val="24"/>
        </w:rPr>
        <w:t>-based</w:t>
      </w:r>
      <w:r w:rsidR="00273406" w:rsidRPr="00386CA5">
        <w:rPr>
          <w:szCs w:val="24"/>
        </w:rPr>
        <w:t xml:space="preserve"> email discussion groups</w:t>
      </w:r>
      <w:r w:rsidR="00F72A4A" w:rsidRPr="00386CA5">
        <w:rPr>
          <w:szCs w:val="24"/>
        </w:rPr>
        <w:t>,</w:t>
      </w:r>
      <w:r w:rsidR="00273406" w:rsidRPr="00386CA5">
        <w:rPr>
          <w:szCs w:val="24"/>
        </w:rPr>
        <w:t xml:space="preserve"> and the web hub;</w:t>
      </w:r>
    </w:p>
    <w:p w:rsidR="00273406" w:rsidRPr="00386CA5" w:rsidRDefault="00307AA9" w:rsidP="0083082E">
      <w:pPr>
        <w:numPr>
          <w:ilvl w:val="0"/>
          <w:numId w:val="33"/>
        </w:numPr>
        <w:spacing w:after="120"/>
        <w:rPr>
          <w:szCs w:val="24"/>
        </w:rPr>
      </w:pPr>
      <w:r w:rsidRPr="00386CA5">
        <w:rPr>
          <w:szCs w:val="24"/>
        </w:rPr>
        <w:t>Conduct o</w:t>
      </w:r>
      <w:r w:rsidR="00273406" w:rsidRPr="00386CA5">
        <w:rPr>
          <w:szCs w:val="24"/>
        </w:rPr>
        <w:t xml:space="preserve">nline surveys </w:t>
      </w:r>
      <w:r w:rsidR="00041525" w:rsidRPr="00386CA5">
        <w:rPr>
          <w:szCs w:val="24"/>
        </w:rPr>
        <w:t>or polls to increase methods for</w:t>
      </w:r>
      <w:r w:rsidR="00273406" w:rsidRPr="00386CA5">
        <w:rPr>
          <w:szCs w:val="24"/>
        </w:rPr>
        <w:t xml:space="preserve"> stakeholders to provide feedback. </w:t>
      </w:r>
    </w:p>
    <w:p w:rsidR="006222EE" w:rsidRDefault="006222EE" w:rsidP="00A37012">
      <w:pPr>
        <w:pStyle w:val="Bulletlist"/>
        <w:numPr>
          <w:ilvl w:val="0"/>
          <w:numId w:val="0"/>
        </w:numPr>
      </w:pPr>
    </w:p>
    <w:p w:rsidR="00F14F3B" w:rsidRDefault="00F14F3B" w:rsidP="0019081D">
      <w:pPr>
        <w:pStyle w:val="Heading1"/>
        <w:spacing w:before="0"/>
        <w:sectPr w:rsidR="00F14F3B" w:rsidSect="00F14F3B">
          <w:pgSz w:w="11907" w:h="16840" w:code="9"/>
          <w:pgMar w:top="1384" w:right="1440" w:bottom="1440" w:left="1440" w:header="720" w:footer="595" w:gutter="0"/>
          <w:cols w:space="720"/>
          <w:docGrid w:linePitch="360"/>
        </w:sectPr>
      </w:pPr>
    </w:p>
    <w:p w:rsidR="00B12AB3" w:rsidRDefault="00821401" w:rsidP="0019081D">
      <w:pPr>
        <w:pStyle w:val="Heading1"/>
        <w:spacing w:before="0"/>
      </w:pPr>
      <w:bookmarkStart w:id="23" w:name="_Toc422213335"/>
      <w:bookmarkStart w:id="24" w:name="_Toc422213392"/>
      <w:r>
        <w:lastRenderedPageBreak/>
        <w:t>Barriers to productive networking</w:t>
      </w:r>
      <w:bookmarkEnd w:id="23"/>
      <w:bookmarkEnd w:id="24"/>
    </w:p>
    <w:p w:rsidR="001B36B0" w:rsidRDefault="00DC359F" w:rsidP="002779EB">
      <w:r>
        <w:t>A significant</w:t>
      </w:r>
      <w:r w:rsidR="001B36B0">
        <w:t xml:space="preserve"> challenge to product</w:t>
      </w:r>
      <w:r w:rsidR="009B2A5A">
        <w:t xml:space="preserve">ive networking </w:t>
      </w:r>
      <w:r w:rsidR="001B36B0">
        <w:t>during the JoMeC Network Project has been the complexity of</w:t>
      </w:r>
      <w:r w:rsidR="0083082E">
        <w:t xml:space="preserve"> communicating with </w:t>
      </w:r>
      <w:r w:rsidR="001B36B0">
        <w:t>dynamic communities</w:t>
      </w:r>
      <w:r w:rsidR="00292E5F">
        <w:t xml:space="preserve"> </w:t>
      </w:r>
      <w:r w:rsidR="00870DEE">
        <w:t>that encompass</w:t>
      </w:r>
      <w:r w:rsidR="008B2EC6">
        <w:t xml:space="preserve"> </w:t>
      </w:r>
      <w:r w:rsidR="00292E5F">
        <w:t xml:space="preserve">a </w:t>
      </w:r>
      <w:r w:rsidR="008B2EC6">
        <w:t>large number and variety of stakeholders</w:t>
      </w:r>
      <w:r w:rsidR="001B36B0">
        <w:t xml:space="preserve">. </w:t>
      </w:r>
      <w:r w:rsidR="00292E5F">
        <w:t xml:space="preserve">Change was constant as disciplines </w:t>
      </w:r>
      <w:r w:rsidR="008B2EC6">
        <w:t>adapt</w:t>
      </w:r>
      <w:r w:rsidR="00292E5F">
        <w:t>ed</w:t>
      </w:r>
      <w:r w:rsidR="008B2EC6">
        <w:t xml:space="preserve"> to </w:t>
      </w:r>
      <w:r w:rsidR="00292E5F">
        <w:t>transformations</w:t>
      </w:r>
      <w:r w:rsidR="008B2EC6">
        <w:t xml:space="preserve"> wrought by </w:t>
      </w:r>
      <w:r w:rsidR="001B36B0">
        <w:t>new technologies</w:t>
      </w:r>
      <w:r w:rsidR="008B2EC6">
        <w:t xml:space="preserve">, changing </w:t>
      </w:r>
      <w:r w:rsidR="001B36B0">
        <w:t>e</w:t>
      </w:r>
      <w:r w:rsidR="002779EB">
        <w:t>nrolment patterns and e</w:t>
      </w:r>
      <w:r w:rsidR="001B36B0">
        <w:t>mployment opportuniti</w:t>
      </w:r>
      <w:r w:rsidR="009B2A5A">
        <w:t>es</w:t>
      </w:r>
      <w:r w:rsidR="008B2EC6">
        <w:t xml:space="preserve">, </w:t>
      </w:r>
      <w:r w:rsidR="006A7B53">
        <w:t>universit</w:t>
      </w:r>
      <w:r w:rsidR="008B2EC6">
        <w:t>y</w:t>
      </w:r>
      <w:r w:rsidR="001B36B0">
        <w:t xml:space="preserve"> restructuring</w:t>
      </w:r>
      <w:r w:rsidR="006A7B53">
        <w:t>,</w:t>
      </w:r>
      <w:r w:rsidR="001E72B8">
        <w:t xml:space="preserve"> and </w:t>
      </w:r>
      <w:r w:rsidR="008B2EC6">
        <w:t>revisions to</w:t>
      </w:r>
      <w:r w:rsidR="00292E5F">
        <w:t xml:space="preserve"> funding</w:t>
      </w:r>
      <w:r w:rsidR="001B36B0">
        <w:t xml:space="preserve">. </w:t>
      </w:r>
      <w:r w:rsidR="008B2EC6">
        <w:t>D</w:t>
      </w:r>
      <w:r w:rsidR="009B2A5A">
        <w:t>egree programs evolved</w:t>
      </w:r>
      <w:r w:rsidR="001B36B0">
        <w:t xml:space="preserve">, sometimes </w:t>
      </w:r>
      <w:r w:rsidR="009B2A5A">
        <w:t xml:space="preserve">modifying their focus or </w:t>
      </w:r>
      <w:r w:rsidR="001B36B0">
        <w:t>moving from one sc</w:t>
      </w:r>
      <w:r w:rsidR="0083082E">
        <w:t xml:space="preserve">hool or faculty to another; </w:t>
      </w:r>
      <w:r w:rsidR="001B36B0">
        <w:t xml:space="preserve">personnel came and went; and time-poor program leaders were </w:t>
      </w:r>
      <w:r w:rsidR="0083082E">
        <w:t xml:space="preserve">often </w:t>
      </w:r>
      <w:r w:rsidR="001B36B0">
        <w:t>difficult to trac</w:t>
      </w:r>
      <w:r w:rsidR="009B2A5A">
        <w:t>k down or too busy to absorb</w:t>
      </w:r>
      <w:r w:rsidR="001B36B0">
        <w:t xml:space="preserve"> or participate in th</w:t>
      </w:r>
      <w:r w:rsidR="00981337">
        <w:t xml:space="preserve">e Network’s activities. </w:t>
      </w:r>
    </w:p>
    <w:p w:rsidR="001B36B0" w:rsidRDefault="001B36B0" w:rsidP="001B36B0"/>
    <w:p w:rsidR="00542C56" w:rsidRDefault="00981337" w:rsidP="004D5808">
      <w:r>
        <w:t xml:space="preserve">This </w:t>
      </w:r>
      <w:r w:rsidR="001E72B8">
        <w:t>required a revision</w:t>
      </w:r>
      <w:r w:rsidR="009B2A5A">
        <w:t xml:space="preserve"> of the </w:t>
      </w:r>
      <w:r w:rsidR="006A7B53">
        <w:t xml:space="preserve">Network </w:t>
      </w:r>
      <w:r w:rsidR="009B2A5A">
        <w:t>project</w:t>
      </w:r>
      <w:r w:rsidR="006A7B53">
        <w:t>’s scale</w:t>
      </w:r>
      <w:r w:rsidR="009B2A5A">
        <w:t xml:space="preserve">. Rather than attempting </w:t>
      </w:r>
      <w:r w:rsidR="00F72A4A">
        <w:t xml:space="preserve">to </w:t>
      </w:r>
      <w:r w:rsidR="009B2A5A">
        <w:t>comprehensive</w:t>
      </w:r>
      <w:r w:rsidR="00F72A4A">
        <w:t>ly</w:t>
      </w:r>
      <w:r w:rsidR="009B2A5A">
        <w:t xml:space="preserve"> map the broader </w:t>
      </w:r>
      <w:r w:rsidR="00F72A4A">
        <w:t xml:space="preserve">fields of </w:t>
      </w:r>
      <w:r w:rsidR="009B2A5A">
        <w:t>journalism,</w:t>
      </w:r>
      <w:r w:rsidR="00DE7845">
        <w:t xml:space="preserve"> media and communication</w:t>
      </w:r>
      <w:r w:rsidR="009B2A5A">
        <w:t>, the JoMeC Network</w:t>
      </w:r>
      <w:r w:rsidR="00542C56">
        <w:t xml:space="preserve"> focuss</w:t>
      </w:r>
      <w:r w:rsidR="009B2A5A">
        <w:t>ed o</w:t>
      </w:r>
      <w:r w:rsidR="007F24AC">
        <w:t>n</w:t>
      </w:r>
      <w:r w:rsidR="001E72B8">
        <w:t xml:space="preserve"> the</w:t>
      </w:r>
      <w:r w:rsidR="007F24AC">
        <w:t xml:space="preserve"> </w:t>
      </w:r>
      <w:r w:rsidR="00542C56">
        <w:t xml:space="preserve">three </w:t>
      </w:r>
      <w:r w:rsidR="00EA7DB1">
        <w:t>selected</w:t>
      </w:r>
      <w:r w:rsidR="009B2A5A">
        <w:t xml:space="preserve"> disciplines </w:t>
      </w:r>
      <w:r w:rsidR="00A04BCA">
        <w:t xml:space="preserve">of Journalism, Communication and/or Media studies and Public Relations, </w:t>
      </w:r>
      <w:r w:rsidR="00870DEE">
        <w:t>then</w:t>
      </w:r>
      <w:r w:rsidR="009B2A5A">
        <w:t xml:space="preserve"> created</w:t>
      </w:r>
      <w:r w:rsidR="00542C56">
        <w:t xml:space="preserve"> TLO statements and other resources that would useful to them</w:t>
      </w:r>
      <w:r w:rsidR="009B2A5A">
        <w:t xml:space="preserve">. </w:t>
      </w:r>
    </w:p>
    <w:p w:rsidR="00542C56" w:rsidRDefault="00542C56" w:rsidP="009D3F7B"/>
    <w:p w:rsidR="00542C56" w:rsidRDefault="009D3F7B" w:rsidP="006A7B53">
      <w:r>
        <w:t xml:space="preserve">Other hurdles arose due to the </w:t>
      </w:r>
      <w:r w:rsidR="000563D1">
        <w:t xml:space="preserve">project’s </w:t>
      </w:r>
      <w:r>
        <w:t xml:space="preserve">timing. In the </w:t>
      </w:r>
      <w:r w:rsidR="000563D1">
        <w:t xml:space="preserve">project’s </w:t>
      </w:r>
      <w:r>
        <w:t xml:space="preserve">earlier phases, academic stakeholders often expressed uncertainties or suspicions about the implementation of the AQF, the role of </w:t>
      </w:r>
      <w:r w:rsidR="00870DEE">
        <w:t xml:space="preserve">the </w:t>
      </w:r>
      <w:r w:rsidR="00870DEE" w:rsidRPr="004A0054">
        <w:t>Tertiary Education Quality and Standards Agency</w:t>
      </w:r>
      <w:r w:rsidR="00870DEE">
        <w:t xml:space="preserve"> (</w:t>
      </w:r>
      <w:r>
        <w:t>TEQSA</w:t>
      </w:r>
      <w:r w:rsidR="00870DEE">
        <w:t>)</w:t>
      </w:r>
      <w:r w:rsidR="000563D1">
        <w:t>,</w:t>
      </w:r>
      <w:r w:rsidR="006E60C6">
        <w:t xml:space="preserve"> and the development of national TLO statements</w:t>
      </w:r>
      <w:r>
        <w:t xml:space="preserve">. </w:t>
      </w:r>
      <w:r w:rsidR="006E60C6">
        <w:t>T</w:t>
      </w:r>
      <w:r>
        <w:t xml:space="preserve">he change of </w:t>
      </w:r>
      <w:r w:rsidR="000563D1">
        <w:t>Federal G</w:t>
      </w:r>
      <w:r>
        <w:t>overnment in 2013</w:t>
      </w:r>
      <w:r w:rsidR="007F24AC">
        <w:t xml:space="preserve"> </w:t>
      </w:r>
      <w:r w:rsidR="006E60C6">
        <w:t>led to question</w:t>
      </w:r>
      <w:r>
        <w:t xml:space="preserve">s about the impact this would have on </w:t>
      </w:r>
      <w:r w:rsidR="006A7B53">
        <w:t>the e</w:t>
      </w:r>
      <w:r>
        <w:t xml:space="preserve">xecution of AQF requirements. Some stakeholders were </w:t>
      </w:r>
      <w:r w:rsidR="006A7B53">
        <w:t xml:space="preserve">also </w:t>
      </w:r>
      <w:r>
        <w:t>unclear about the JoMeC Network</w:t>
      </w:r>
      <w:r w:rsidR="006A7B53">
        <w:t>’s role</w:t>
      </w:r>
      <w:r>
        <w:t>, and whether there would be compulsion to align with other disciplines that were not necessarily seen as cognate</w:t>
      </w:r>
      <w:r w:rsidR="00F972AE">
        <w:t>,</w:t>
      </w:r>
      <w:r w:rsidR="006A7B53">
        <w:t xml:space="preserve"> or whether the </w:t>
      </w:r>
      <w:r w:rsidR="00A95A5E">
        <w:t>Network’s</w:t>
      </w:r>
      <w:r>
        <w:t xml:space="preserve"> TLO statements</w:t>
      </w:r>
      <w:r w:rsidR="00A95A5E">
        <w:t xml:space="preserve"> </w:t>
      </w:r>
      <w:r w:rsidR="00542C56">
        <w:t xml:space="preserve">would be imposed or adopted voluntarily. Efforts were made at </w:t>
      </w:r>
      <w:r w:rsidR="00F972AE">
        <w:t xml:space="preserve">the </w:t>
      </w:r>
      <w:r w:rsidR="006A7B53">
        <w:t>N</w:t>
      </w:r>
      <w:r w:rsidR="00542C56">
        <w:t>etwork</w:t>
      </w:r>
      <w:r>
        <w:t xml:space="preserve">’s </w:t>
      </w:r>
      <w:r w:rsidR="00542C56">
        <w:t>earlier</w:t>
      </w:r>
      <w:r>
        <w:t xml:space="preserve"> meetings to allay</w:t>
      </w:r>
      <w:r w:rsidR="000563D1">
        <w:t xml:space="preserve"> fears about</w:t>
      </w:r>
      <w:r>
        <w:t xml:space="preserve"> external quality reviews</w:t>
      </w:r>
      <w:r w:rsidR="00542C56">
        <w:t>,</w:t>
      </w:r>
      <w:r>
        <w:t xml:space="preserve"> perceived divisions between practice-led </w:t>
      </w:r>
      <w:r w:rsidR="000563D1">
        <w:t>and</w:t>
      </w:r>
      <w:r w:rsidR="00542C56">
        <w:t xml:space="preserve"> theory-driven</w:t>
      </w:r>
      <w:r>
        <w:t xml:space="preserve"> teaching</w:t>
      </w:r>
      <w:r w:rsidR="00542C56">
        <w:t xml:space="preserve">, and </w:t>
      </w:r>
      <w:r w:rsidR="006A7B53">
        <w:t>other</w:t>
      </w:r>
      <w:r w:rsidR="00542C56">
        <w:t xml:space="preserve"> concerns</w:t>
      </w:r>
      <w:r>
        <w:t xml:space="preserve">. </w:t>
      </w:r>
      <w:r w:rsidR="00542C56">
        <w:t xml:space="preserve">The </w:t>
      </w:r>
      <w:r w:rsidR="00F51C47">
        <w:t>launch</w:t>
      </w:r>
      <w:r w:rsidR="00542C56">
        <w:t xml:space="preserve"> of the web hub and Facebook page </w:t>
      </w:r>
      <w:r w:rsidR="006A7B53">
        <w:t xml:space="preserve">in </w:t>
      </w:r>
      <w:r w:rsidR="00F51C47">
        <w:t xml:space="preserve">2013 </w:t>
      </w:r>
      <w:r w:rsidR="00542C56">
        <w:t>helped to addr</w:t>
      </w:r>
      <w:r w:rsidR="00041525">
        <w:t xml:space="preserve">ess uncertainty </w:t>
      </w:r>
      <w:r w:rsidR="001E72B8">
        <w:t>by providing an additional</w:t>
      </w:r>
      <w:r w:rsidR="00041525">
        <w:t xml:space="preserve"> </w:t>
      </w:r>
      <w:r w:rsidR="00542C56">
        <w:t xml:space="preserve">information </w:t>
      </w:r>
      <w:r w:rsidR="001E72B8">
        <w:t xml:space="preserve">source </w:t>
      </w:r>
      <w:r w:rsidR="00542C56">
        <w:t xml:space="preserve">about the Network’s goals, methods and </w:t>
      </w:r>
      <w:r w:rsidR="00F972AE">
        <w:t>progress</w:t>
      </w:r>
      <w:r w:rsidR="001E72B8">
        <w:t xml:space="preserve"> and a new avenue for stakeholder engagement.</w:t>
      </w:r>
    </w:p>
    <w:p w:rsidR="00542C56" w:rsidRDefault="00542C56" w:rsidP="009D3F7B"/>
    <w:p w:rsidR="006E0A53" w:rsidRDefault="00F51C47" w:rsidP="00A33D8A">
      <w:r>
        <w:t xml:space="preserve">The timing </w:t>
      </w:r>
      <w:r w:rsidR="001E72B8">
        <w:t xml:space="preserve">and methodology </w:t>
      </w:r>
      <w:r>
        <w:t xml:space="preserve">of specific deliberative activities also </w:t>
      </w:r>
      <w:r w:rsidR="001E72B8">
        <w:t xml:space="preserve">proved </w:t>
      </w:r>
      <w:r>
        <w:t xml:space="preserve">problematic. </w:t>
      </w:r>
      <w:r w:rsidR="00725ABE">
        <w:t>A</w:t>
      </w:r>
      <w:r w:rsidR="00743247">
        <w:t>n example was the plenary session and</w:t>
      </w:r>
      <w:r w:rsidR="00725ABE">
        <w:t xml:space="preserve"> </w:t>
      </w:r>
      <w:r>
        <w:t>workshop</w:t>
      </w:r>
      <w:r w:rsidR="00725ABE">
        <w:t xml:space="preserve"> </w:t>
      </w:r>
      <w:r w:rsidR="00743247">
        <w:t xml:space="preserve">that </w:t>
      </w:r>
      <w:r w:rsidR="00725ABE">
        <w:t xml:space="preserve">were conducted at the </w:t>
      </w:r>
      <w:r w:rsidR="00BC00DB">
        <w:t>conclusion</w:t>
      </w:r>
      <w:r w:rsidR="00725ABE">
        <w:t xml:space="preserve"> of the 2013 ANZCA conference</w:t>
      </w:r>
      <w:r w:rsidR="00CA0722">
        <w:t xml:space="preserve"> in Fremantle, Western Australia</w:t>
      </w:r>
      <w:r w:rsidR="00BC00DB">
        <w:t xml:space="preserve">. </w:t>
      </w:r>
      <w:r w:rsidR="009978AE">
        <w:t>The session commenced with a panel presentation, then delegates broke into discipli</w:t>
      </w:r>
      <w:r w:rsidR="008E5E40">
        <w:t>nary groups to deliberate on drafts of</w:t>
      </w:r>
      <w:r w:rsidR="009978AE">
        <w:t xml:space="preserve"> KSAs and </w:t>
      </w:r>
      <w:r w:rsidR="008E5E40">
        <w:t xml:space="preserve">preliminary framing of </w:t>
      </w:r>
      <w:r w:rsidR="009978AE">
        <w:t xml:space="preserve">TLOs. A scholar from each of the respective disciplines – Journalism, Communication and/or Media Studies, and Public Relations – facilitated the group discussions. </w:t>
      </w:r>
      <w:r w:rsidR="00725ABE">
        <w:t>In retrospect</w:t>
      </w:r>
      <w:r w:rsidR="001E72B8">
        <w:t>, the final session was</w:t>
      </w:r>
      <w:r w:rsidR="00A33D8A">
        <w:t xml:space="preserve"> not </w:t>
      </w:r>
      <w:r w:rsidR="001E72B8">
        <w:t>o</w:t>
      </w:r>
      <w:r w:rsidR="00A92A00">
        <w:t>ptimal</w:t>
      </w:r>
      <w:r w:rsidR="00725ABE">
        <w:t xml:space="preserve"> ti</w:t>
      </w:r>
      <w:r w:rsidR="00A33D8A">
        <w:t>ming for hands-on activities in issues framing</w:t>
      </w:r>
      <w:r w:rsidR="00725ABE">
        <w:t xml:space="preserve">. </w:t>
      </w:r>
      <w:r w:rsidR="001E72B8">
        <w:t xml:space="preserve">Some </w:t>
      </w:r>
      <w:r w:rsidR="00725ABE">
        <w:t xml:space="preserve">delegates </w:t>
      </w:r>
      <w:r w:rsidR="0082514A">
        <w:t>left</w:t>
      </w:r>
      <w:r w:rsidR="001E72B8">
        <w:t xml:space="preserve"> early to return to </w:t>
      </w:r>
      <w:r>
        <w:t>E</w:t>
      </w:r>
      <w:r w:rsidR="00725ABE">
        <w:t xml:space="preserve">astern states, </w:t>
      </w:r>
      <w:r w:rsidR="00A33D8A">
        <w:t>while</w:t>
      </w:r>
      <w:r w:rsidR="00A92A00">
        <w:t xml:space="preserve"> remaining</w:t>
      </w:r>
      <w:r w:rsidR="00725ABE">
        <w:t xml:space="preserve"> attendees were less fresh at the end of </w:t>
      </w:r>
      <w:r>
        <w:t xml:space="preserve">a busy </w:t>
      </w:r>
      <w:r w:rsidR="00725ABE">
        <w:t>conference</w:t>
      </w:r>
      <w:r>
        <w:t xml:space="preserve"> program.</w:t>
      </w:r>
      <w:r w:rsidR="00725ABE">
        <w:t xml:space="preserve"> </w:t>
      </w:r>
      <w:r w:rsidR="009978AE">
        <w:t xml:space="preserve">The methodology could also have been </w:t>
      </w:r>
      <w:r w:rsidR="0082514A">
        <w:t>refined</w:t>
      </w:r>
      <w:r w:rsidR="009978AE">
        <w:t xml:space="preserve"> by having</w:t>
      </w:r>
      <w:r w:rsidR="0082514A">
        <w:t xml:space="preserve"> a fourth </w:t>
      </w:r>
      <w:r w:rsidR="00725ABE">
        <w:t>facilitator to move between the different discipline groups</w:t>
      </w:r>
      <w:r w:rsidR="0048393E">
        <w:t xml:space="preserve"> to connect the three different discussions</w:t>
      </w:r>
      <w:r w:rsidR="009978AE">
        <w:t>, and</w:t>
      </w:r>
      <w:r w:rsidR="00725ABE">
        <w:t xml:space="preserve"> </w:t>
      </w:r>
      <w:r w:rsidR="00636386">
        <w:t>more</w:t>
      </w:r>
      <w:r w:rsidR="00725ABE">
        <w:t xml:space="preserve"> preparatio</w:t>
      </w:r>
      <w:r w:rsidR="00636386">
        <w:t>n time before the event for</w:t>
      </w:r>
      <w:r w:rsidR="00725ABE">
        <w:t xml:space="preserve"> </w:t>
      </w:r>
      <w:r w:rsidR="00A33D8A">
        <w:t>the facilitators to discuss the deliberative methods</w:t>
      </w:r>
      <w:r w:rsidR="00725ABE">
        <w:t xml:space="preserve"> and </w:t>
      </w:r>
      <w:r w:rsidR="0048393E">
        <w:t>anticipate</w:t>
      </w:r>
      <w:r w:rsidR="00725ABE">
        <w:t xml:space="preserve"> </w:t>
      </w:r>
      <w:r w:rsidR="00636386">
        <w:t xml:space="preserve">forum </w:t>
      </w:r>
      <w:r w:rsidR="00725ABE">
        <w:t>outco</w:t>
      </w:r>
      <w:r w:rsidR="006E0A53">
        <w:t>mes</w:t>
      </w:r>
      <w:r w:rsidR="00636386">
        <w:t>.</w:t>
      </w:r>
      <w:r w:rsidR="006E0A53">
        <w:t xml:space="preserve"> </w:t>
      </w:r>
      <w:r>
        <w:t>I</w:t>
      </w:r>
      <w:r w:rsidR="00725ABE">
        <w:t xml:space="preserve">ncreased communication around the project’s aims </w:t>
      </w:r>
      <w:r w:rsidR="0048393E">
        <w:t>before</w:t>
      </w:r>
      <w:r>
        <w:t xml:space="preserve"> the event would have </w:t>
      </w:r>
      <w:r w:rsidR="00CC5DBC">
        <w:t>enhanced</w:t>
      </w:r>
      <w:r w:rsidR="00725ABE">
        <w:t xml:space="preserve"> the </w:t>
      </w:r>
      <w:r w:rsidR="00CC5DBC">
        <w:t>participant</w:t>
      </w:r>
      <w:r>
        <w:t>s</w:t>
      </w:r>
      <w:r w:rsidR="00CC5DBC">
        <w:t>’</w:t>
      </w:r>
      <w:r w:rsidR="009978AE">
        <w:t xml:space="preserve"> prior knowledge of the </w:t>
      </w:r>
      <w:r>
        <w:t xml:space="preserve">Network’s purpose and methods, which would have improved </w:t>
      </w:r>
      <w:r w:rsidR="00A33D8A">
        <w:t xml:space="preserve">both </w:t>
      </w:r>
      <w:r>
        <w:t>the process and outcomes.</w:t>
      </w:r>
      <w:r w:rsidR="00725ABE">
        <w:t xml:space="preserve"> </w:t>
      </w:r>
    </w:p>
    <w:p w:rsidR="00725ABE" w:rsidRDefault="00725ABE" w:rsidP="00725ABE"/>
    <w:p w:rsidR="00165116" w:rsidRDefault="00FA0F46" w:rsidP="00FA0F46">
      <w:pPr>
        <w:rPr>
          <w:szCs w:val="24"/>
        </w:rPr>
      </w:pPr>
      <w:r>
        <w:lastRenderedPageBreak/>
        <w:t>C</w:t>
      </w:r>
      <w:r w:rsidR="00010E57">
        <w:t>hallenge</w:t>
      </w:r>
      <w:r w:rsidR="007527E1">
        <w:t>s</w:t>
      </w:r>
      <w:r w:rsidR="00010E57">
        <w:t xml:space="preserve"> w</w:t>
      </w:r>
      <w:r w:rsidR="007527E1">
        <w:t>ere</w:t>
      </w:r>
      <w:r w:rsidR="00010E57">
        <w:t xml:space="preserve"> created by </w:t>
      </w:r>
      <w:r w:rsidR="007527E1">
        <w:t xml:space="preserve">the </w:t>
      </w:r>
      <w:r w:rsidR="00010E57">
        <w:t>chang</w:t>
      </w:r>
      <w:r w:rsidR="007527E1">
        <w:t>es in</w:t>
      </w:r>
      <w:r>
        <w:t xml:space="preserve"> </w:t>
      </w:r>
      <w:r w:rsidR="00010E57">
        <w:t xml:space="preserve">Network </w:t>
      </w:r>
      <w:r w:rsidR="0048393E">
        <w:t xml:space="preserve">leadership and </w:t>
      </w:r>
      <w:r w:rsidR="007527E1">
        <w:t xml:space="preserve">evolving </w:t>
      </w:r>
      <w:r w:rsidR="0048393E">
        <w:t>membership of its</w:t>
      </w:r>
      <w:r w:rsidR="00010E57">
        <w:t xml:space="preserve"> Steering Committee.</w:t>
      </w:r>
      <w:r w:rsidR="00010E57" w:rsidRPr="00010E57">
        <w:t xml:space="preserve"> </w:t>
      </w:r>
      <w:r>
        <w:t>Circumstances necessitated that t</w:t>
      </w:r>
      <w:r w:rsidR="00010E57">
        <w:t xml:space="preserve">hree different people assumed </w:t>
      </w:r>
      <w:r>
        <w:t xml:space="preserve">Network </w:t>
      </w:r>
      <w:r w:rsidR="00010E57">
        <w:t>leadership at various stages of the project. The Steering Committee</w:t>
      </w:r>
      <w:r w:rsidR="00010E57" w:rsidRPr="00010E57">
        <w:t xml:space="preserve"> team </w:t>
      </w:r>
      <w:r w:rsidR="00EF04B7">
        <w:t xml:space="preserve">also </w:t>
      </w:r>
      <w:r w:rsidR="00010E57" w:rsidRPr="00010E57">
        <w:t>changed over the life of the exercise as people moved univer</w:t>
      </w:r>
      <w:r w:rsidR="00EF04B7">
        <w:t>sities, changed roles or took</w:t>
      </w:r>
      <w:r w:rsidR="00010E57" w:rsidRPr="00010E57">
        <w:t xml:space="preserve"> </w:t>
      </w:r>
      <w:r w:rsidR="00EF04B7">
        <w:t xml:space="preserve">extended leave. </w:t>
      </w:r>
      <w:r>
        <w:t xml:space="preserve">The </w:t>
      </w:r>
      <w:r w:rsidR="00EF04B7">
        <w:t xml:space="preserve">Network team has required flexibility to work around </w:t>
      </w:r>
      <w:r w:rsidR="00725ABE">
        <w:t>ebb</w:t>
      </w:r>
      <w:r w:rsidR="00EF04B7">
        <w:t xml:space="preserve">s </w:t>
      </w:r>
      <w:r w:rsidR="00725ABE">
        <w:t>and flow</w:t>
      </w:r>
      <w:r w:rsidR="00EF04B7">
        <w:t>s</w:t>
      </w:r>
      <w:r w:rsidR="00725ABE">
        <w:t xml:space="preserve"> </w:t>
      </w:r>
      <w:r>
        <w:t>in data gathering and consultation that resulted from shifts in</w:t>
      </w:r>
      <w:r w:rsidR="00725ABE">
        <w:t xml:space="preserve"> </w:t>
      </w:r>
      <w:r>
        <w:t>roles and workloads.</w:t>
      </w:r>
      <w:r w:rsidR="00725ABE">
        <w:t xml:space="preserve"> </w:t>
      </w:r>
      <w:r w:rsidR="00165116" w:rsidRPr="00EF04B7">
        <w:t xml:space="preserve">Despite </w:t>
      </w:r>
      <w:r w:rsidR="007F54D3">
        <w:t>these issues</w:t>
      </w:r>
      <w:r w:rsidR="00165116" w:rsidRPr="00EF04B7">
        <w:t xml:space="preserve">, the venture has made </w:t>
      </w:r>
      <w:r>
        <w:t>some s</w:t>
      </w:r>
      <w:r w:rsidR="00165116" w:rsidRPr="00EF04B7">
        <w:t>ignificant contributions to learning and teaching.</w:t>
      </w:r>
    </w:p>
    <w:p w:rsidR="00725ABE" w:rsidRDefault="00725ABE" w:rsidP="007F771B"/>
    <w:p w:rsidR="00F14F3B" w:rsidRDefault="00F14F3B" w:rsidP="0019081D">
      <w:pPr>
        <w:pStyle w:val="Heading1"/>
        <w:spacing w:before="0"/>
        <w:sectPr w:rsidR="00F14F3B" w:rsidSect="00F14F3B">
          <w:pgSz w:w="11907" w:h="16840" w:code="9"/>
          <w:pgMar w:top="1384" w:right="1440" w:bottom="1440" w:left="1440" w:header="720" w:footer="595" w:gutter="0"/>
          <w:cols w:space="720"/>
          <w:docGrid w:linePitch="360"/>
        </w:sectPr>
      </w:pPr>
    </w:p>
    <w:p w:rsidR="00225051" w:rsidRDefault="007F771B" w:rsidP="0019081D">
      <w:pPr>
        <w:pStyle w:val="Heading1"/>
        <w:spacing w:before="0"/>
      </w:pPr>
      <w:bookmarkStart w:id="25" w:name="_Toc422213336"/>
      <w:bookmarkStart w:id="26" w:name="_Toc422213393"/>
      <w:r>
        <w:lastRenderedPageBreak/>
        <w:t>What the network offers</w:t>
      </w:r>
      <w:bookmarkEnd w:id="25"/>
      <w:bookmarkEnd w:id="26"/>
    </w:p>
    <w:p w:rsidR="00E04F82" w:rsidRDefault="00117EB4" w:rsidP="00187DA1">
      <w:bookmarkStart w:id="27" w:name="_Toc306021640"/>
      <w:bookmarkStart w:id="28" w:name="_Toc306698210"/>
      <w:bookmarkStart w:id="29" w:name="_Toc306698975"/>
      <w:bookmarkStart w:id="30" w:name="_Toc306699057"/>
      <w:bookmarkStart w:id="31" w:name="_Toc306699947"/>
      <w:bookmarkStart w:id="32" w:name="_Toc306700308"/>
      <w:bookmarkStart w:id="33" w:name="_Toc306700651"/>
      <w:bookmarkStart w:id="34" w:name="_Toc306700798"/>
      <w:bookmarkStart w:id="35" w:name="_Toc306701148"/>
      <w:r>
        <w:t xml:space="preserve">The JoMeC </w:t>
      </w:r>
      <w:r w:rsidR="00B52A46">
        <w:t xml:space="preserve">Network offers ongoing resources </w:t>
      </w:r>
      <w:r w:rsidR="005F73BF">
        <w:t>for scholars and stakeholders in the J</w:t>
      </w:r>
      <w:r w:rsidR="00B8486A">
        <w:t xml:space="preserve">ournalism, </w:t>
      </w:r>
      <w:r w:rsidR="005F73BF">
        <w:t xml:space="preserve">Communication </w:t>
      </w:r>
      <w:r w:rsidR="00406337">
        <w:t xml:space="preserve">and/or </w:t>
      </w:r>
      <w:r w:rsidR="005F73BF">
        <w:t>Media Studies</w:t>
      </w:r>
      <w:r w:rsidR="00B8486A">
        <w:t>, and Public Relations</w:t>
      </w:r>
      <w:r w:rsidR="005F73BF">
        <w:t xml:space="preserve"> disciplines. Thes</w:t>
      </w:r>
      <w:r w:rsidR="006A7B53">
        <w:t>e range</w:t>
      </w:r>
      <w:r w:rsidR="005F73BF">
        <w:t xml:space="preserve"> from resources to assist</w:t>
      </w:r>
      <w:r w:rsidR="00B52A46">
        <w:t xml:space="preserve"> scholars to develop</w:t>
      </w:r>
      <w:r w:rsidR="005F73BF">
        <w:t xml:space="preserve"> and evidenc</w:t>
      </w:r>
      <w:r w:rsidR="00B52A46">
        <w:t>e</w:t>
      </w:r>
      <w:r w:rsidR="005F73BF">
        <w:t xml:space="preserve"> TLOs at their hom</w:t>
      </w:r>
      <w:r w:rsidR="00A32FBD">
        <w:t>e institutions to forums</w:t>
      </w:r>
      <w:r w:rsidR="005F73BF">
        <w:t xml:space="preserve"> for networking and collaboration about TLOs a</w:t>
      </w:r>
      <w:r w:rsidR="00406337">
        <w:t>s well as</w:t>
      </w:r>
      <w:r w:rsidR="005F73BF">
        <w:t xml:space="preserve"> other learning and teaching issues.</w:t>
      </w:r>
    </w:p>
    <w:p w:rsidR="00117EB4" w:rsidRPr="00117EB4" w:rsidRDefault="00117EB4" w:rsidP="00187DA1">
      <w:r>
        <w:t xml:space="preserve">The TLO statements are </w:t>
      </w:r>
      <w:r w:rsidR="00E91314">
        <w:t xml:space="preserve">resources for educators in JoMeC </w:t>
      </w:r>
      <w:r w:rsidR="006A7B53">
        <w:t>disciplines, and it is important</w:t>
      </w:r>
      <w:r w:rsidR="00E91314">
        <w:t xml:space="preserve"> </w:t>
      </w:r>
      <w:r w:rsidR="00B52A46">
        <w:t xml:space="preserve">to note </w:t>
      </w:r>
      <w:r w:rsidR="00E91314">
        <w:t xml:space="preserve">that they are </w:t>
      </w:r>
      <w:r>
        <w:t>not static</w:t>
      </w:r>
      <w:r w:rsidR="006A7B53">
        <w:t xml:space="preserve"> documents. T</w:t>
      </w:r>
      <w:r>
        <w:t>he</w:t>
      </w:r>
      <w:r w:rsidR="006A7B53">
        <w:t xml:space="preserve"> </w:t>
      </w:r>
      <w:r w:rsidR="00F972AE">
        <w:t>Network will retain a</w:t>
      </w:r>
      <w:r w:rsidR="005855BA">
        <w:t xml:space="preserve"> Project Manager</w:t>
      </w:r>
      <w:r w:rsidR="00B8486A">
        <w:t xml:space="preserve"> </w:t>
      </w:r>
      <w:r>
        <w:t xml:space="preserve">for a year following the completion of the </w:t>
      </w:r>
      <w:r w:rsidR="00E56870">
        <w:t xml:space="preserve">main </w:t>
      </w:r>
      <w:r w:rsidR="00762CFA">
        <w:t>project. The</w:t>
      </w:r>
      <w:r w:rsidR="005855BA">
        <w:t xml:space="preserve"> Project Manag</w:t>
      </w:r>
      <w:r w:rsidR="00B8486A">
        <w:t>er</w:t>
      </w:r>
      <w:r>
        <w:t xml:space="preserve"> will solicit insights from peak bodies, discipline communities and other stakeholders</w:t>
      </w:r>
      <w:r w:rsidR="00E56870">
        <w:t xml:space="preserve"> about the TLOs and related issues</w:t>
      </w:r>
      <w:r>
        <w:t xml:space="preserve">, and coordinate that input to inform the three </w:t>
      </w:r>
      <w:r w:rsidR="00B8486A">
        <w:t>R</w:t>
      </w:r>
      <w:r w:rsidR="00A32FBD">
        <w:t>eference Groups</w:t>
      </w:r>
      <w:r w:rsidR="00B8486A">
        <w:t xml:space="preserve"> for the Journalism, Communication and/or Media Studies, and Public Relations disciplines</w:t>
      </w:r>
      <w:r w:rsidR="00A32FBD">
        <w:t xml:space="preserve">. These </w:t>
      </w:r>
      <w:r w:rsidR="00B8486A">
        <w:t>R</w:t>
      </w:r>
      <w:r w:rsidR="00A32FBD">
        <w:t xml:space="preserve">eference </w:t>
      </w:r>
      <w:r w:rsidR="00B8486A">
        <w:t>G</w:t>
      </w:r>
      <w:r w:rsidR="00A32FBD">
        <w:t>roup</w:t>
      </w:r>
      <w:r w:rsidR="00E56870">
        <w:t>s will evaluate and hone the TLO statements</w:t>
      </w:r>
      <w:r>
        <w:t xml:space="preserve"> as necessary. They will also provide guidance about documentation or other resources that the JoMeC Network might create to help </w:t>
      </w:r>
      <w:r w:rsidR="006A7B53">
        <w:t>JoMeC</w:t>
      </w:r>
      <w:r w:rsidR="00101B20">
        <w:t xml:space="preserve"> </w:t>
      </w:r>
      <w:r>
        <w:t xml:space="preserve">disciplines </w:t>
      </w:r>
      <w:r w:rsidRPr="00117EB4">
        <w:t xml:space="preserve">to define, implement and assure learning outcomes. </w:t>
      </w:r>
    </w:p>
    <w:p w:rsidR="00187DA1" w:rsidRDefault="00187DA1" w:rsidP="00187DA1"/>
    <w:p w:rsidR="009228E0" w:rsidRDefault="00FA0F46" w:rsidP="00187DA1">
      <w:r>
        <w:t>JERAA</w:t>
      </w:r>
      <w:r w:rsidR="009978AE">
        <w:t>’s newly created</w:t>
      </w:r>
      <w:r>
        <w:t xml:space="preserve"> </w:t>
      </w:r>
      <w:r w:rsidR="00762CFA">
        <w:t xml:space="preserve">role of </w:t>
      </w:r>
      <w:r w:rsidR="00E04F82" w:rsidRPr="00E04F82">
        <w:t>Vice</w:t>
      </w:r>
      <w:r w:rsidR="007527E1">
        <w:t>-</w:t>
      </w:r>
      <w:r w:rsidR="00E04F82" w:rsidRPr="00E04F82">
        <w:t xml:space="preserve">President (Networks) </w:t>
      </w:r>
      <w:r>
        <w:t xml:space="preserve">encompasses responsibility </w:t>
      </w:r>
      <w:r w:rsidR="0084756F">
        <w:t>for coordinating</w:t>
      </w:r>
      <w:r w:rsidR="00762CFA">
        <w:t xml:space="preserve"> </w:t>
      </w:r>
      <w:r>
        <w:t>the</w:t>
      </w:r>
      <w:r w:rsidR="00E56870">
        <w:t xml:space="preserve"> Network</w:t>
      </w:r>
      <w:r>
        <w:t>’s continuing</w:t>
      </w:r>
      <w:r w:rsidR="00E56870">
        <w:t xml:space="preserve"> activities</w:t>
      </w:r>
      <w:r w:rsidR="00762CFA">
        <w:t xml:space="preserve">. </w:t>
      </w:r>
      <w:r w:rsidR="00E56870">
        <w:t>The Vice</w:t>
      </w:r>
      <w:r w:rsidR="007527E1">
        <w:t>-</w:t>
      </w:r>
      <w:r w:rsidR="00E56870">
        <w:t>Pr</w:t>
      </w:r>
      <w:r w:rsidR="00B8486A">
        <w:t>esident</w:t>
      </w:r>
      <w:r w:rsidR="00762CFA">
        <w:t xml:space="preserve"> (Network</w:t>
      </w:r>
      <w:r w:rsidR="00FC437A">
        <w:t>s</w:t>
      </w:r>
      <w:r w:rsidR="00762CFA">
        <w:t>)</w:t>
      </w:r>
      <w:r>
        <w:t xml:space="preserve"> will oversee </w:t>
      </w:r>
      <w:r w:rsidR="00E56870">
        <w:t xml:space="preserve">the review </w:t>
      </w:r>
      <w:r w:rsidR="00E04F82">
        <w:t xml:space="preserve">of </w:t>
      </w:r>
      <w:r w:rsidR="00C22DC0">
        <w:t>T</w:t>
      </w:r>
      <w:r w:rsidR="00E04F82">
        <w:t>LOs for Jour</w:t>
      </w:r>
      <w:r w:rsidR="00762CFA">
        <w:t>nalism and Public Relations and</w:t>
      </w:r>
      <w:r w:rsidR="00E04F82">
        <w:t xml:space="preserve"> the further development of the draft </w:t>
      </w:r>
      <w:r w:rsidR="00406337">
        <w:t xml:space="preserve">TLOs </w:t>
      </w:r>
      <w:r w:rsidR="00E04F82">
        <w:t xml:space="preserve">for Communication </w:t>
      </w:r>
      <w:r w:rsidR="00406337">
        <w:t xml:space="preserve">and/or </w:t>
      </w:r>
      <w:r w:rsidR="00E04F82">
        <w:t>Media Studies.</w:t>
      </w:r>
      <w:r w:rsidR="00E56870">
        <w:t xml:space="preserve"> </w:t>
      </w:r>
      <w:r>
        <w:t>JERAA’s</w:t>
      </w:r>
      <w:r w:rsidR="00E56870">
        <w:t xml:space="preserve"> Vice</w:t>
      </w:r>
      <w:r w:rsidR="007527E1">
        <w:t>-</w:t>
      </w:r>
      <w:r w:rsidR="00E56870">
        <w:t xml:space="preserve">President </w:t>
      </w:r>
      <w:r w:rsidR="00762CFA">
        <w:t xml:space="preserve">(Networks) </w:t>
      </w:r>
      <w:r>
        <w:t xml:space="preserve">will </w:t>
      </w:r>
      <w:r w:rsidR="009228E0">
        <w:t>increas</w:t>
      </w:r>
      <w:r w:rsidR="00E56870">
        <w:t>e</w:t>
      </w:r>
      <w:r w:rsidR="009228E0">
        <w:t xml:space="preserve"> networking among the JoM</w:t>
      </w:r>
      <w:r>
        <w:t>eC disciplines by communicating</w:t>
      </w:r>
      <w:r w:rsidR="009228E0">
        <w:t xml:space="preserve"> with peak bodies, such as ANZCA, </w:t>
      </w:r>
      <w:r w:rsidR="00CC39F2">
        <w:t xml:space="preserve">JERAA, </w:t>
      </w:r>
      <w:r w:rsidR="00636B1A">
        <w:t>the International Communication</w:t>
      </w:r>
      <w:r w:rsidR="009228E0">
        <w:t xml:space="preserve"> Association (ICA), International Association for Media and Communication Research (IAMCR), and Public Relations Institute of Australia (PRIA), </w:t>
      </w:r>
      <w:r>
        <w:t>and oth</w:t>
      </w:r>
      <w:r w:rsidR="009228E0">
        <w:t>er relevant stakeholders. The aim is to explore opportunities for discussion and co</w:t>
      </w:r>
      <w:r w:rsidR="007527E1">
        <w:t>-</w:t>
      </w:r>
      <w:r w:rsidR="00FC437A">
        <w:t>operation around shared</w:t>
      </w:r>
      <w:r w:rsidR="009228E0">
        <w:t xml:space="preserve"> interests in teaching, research and other activities for mutual benefit.</w:t>
      </w:r>
    </w:p>
    <w:p w:rsidR="00187DA1" w:rsidRDefault="00187DA1" w:rsidP="00187DA1"/>
    <w:p w:rsidR="004330D1" w:rsidRDefault="00B52A46" w:rsidP="00187DA1">
      <w:r>
        <w:t>The Network will also provide ongoing fora for sharing information, engaging in deliberation and organising cooperative</w:t>
      </w:r>
      <w:r w:rsidR="00DB031F">
        <w:t xml:space="preserve"> action about TLOs</w:t>
      </w:r>
      <w:r>
        <w:t xml:space="preserve"> and other learning and teaching issues. </w:t>
      </w:r>
      <w:r w:rsidR="009228E0">
        <w:t>T</w:t>
      </w:r>
      <w:r>
        <w:t xml:space="preserve">he </w:t>
      </w:r>
      <w:r w:rsidR="00B9278E">
        <w:t xml:space="preserve">Network’s </w:t>
      </w:r>
      <w:r w:rsidR="009228E0">
        <w:t xml:space="preserve">web </w:t>
      </w:r>
      <w:r w:rsidR="00406337">
        <w:t xml:space="preserve">hub </w:t>
      </w:r>
      <w:r w:rsidR="009228E0">
        <w:t xml:space="preserve">will </w:t>
      </w:r>
      <w:r w:rsidR="00B9278E">
        <w:t>remain publicly available as a lasting resource for disci</w:t>
      </w:r>
      <w:r>
        <w:t>pline communities, with a dedicated JoMeC email address for conversations between the Network team and</w:t>
      </w:r>
      <w:r w:rsidR="00B8486A">
        <w:t xml:space="preserve"> </w:t>
      </w:r>
      <w:r w:rsidR="00E04F82">
        <w:t>stakeholders</w:t>
      </w:r>
      <w:r w:rsidR="009228E0">
        <w:t>.</w:t>
      </w:r>
      <w:r>
        <w:t xml:space="preserve"> P</w:t>
      </w:r>
      <w:r w:rsidR="00117EB4">
        <w:t>lanned res</w:t>
      </w:r>
      <w:r w:rsidR="00B8486A">
        <w:t xml:space="preserve">earch publications </w:t>
      </w:r>
      <w:r w:rsidR="00117EB4">
        <w:t xml:space="preserve">will also contribute to scholarly discussions about learning outcomes of </w:t>
      </w:r>
      <w:r w:rsidR="00C2727B">
        <w:t>h</w:t>
      </w:r>
      <w:r w:rsidR="00117EB4">
        <w:t xml:space="preserve">igher </w:t>
      </w:r>
      <w:r w:rsidR="00C2727B">
        <w:t>e</w:t>
      </w:r>
      <w:r w:rsidR="00117EB4">
        <w:t>ducation in the JoMeC fields.</w:t>
      </w:r>
      <w:r>
        <w:t xml:space="preserve"> A</w:t>
      </w:r>
      <w:r w:rsidR="00B9278E" w:rsidRPr="00B9278E">
        <w:t>s mentioned above, ANZ</w:t>
      </w:r>
      <w:r w:rsidR="00E56870">
        <w:t xml:space="preserve">CA </w:t>
      </w:r>
      <w:r>
        <w:t xml:space="preserve">and JERAA’s </w:t>
      </w:r>
      <w:r w:rsidR="002921DA">
        <w:t>annual conferences</w:t>
      </w:r>
      <w:r w:rsidR="00E56870">
        <w:t xml:space="preserve"> </w:t>
      </w:r>
      <w:r>
        <w:t>will host</w:t>
      </w:r>
      <w:r w:rsidR="00B9278E" w:rsidRPr="00B9278E">
        <w:t xml:space="preserve"> </w:t>
      </w:r>
      <w:r>
        <w:t xml:space="preserve">Network </w:t>
      </w:r>
      <w:r w:rsidR="00B9278E" w:rsidRPr="00B9278E">
        <w:t xml:space="preserve">presentations </w:t>
      </w:r>
      <w:r>
        <w:t xml:space="preserve">or meetings for Disciplinary </w:t>
      </w:r>
      <w:r w:rsidR="005E6D55">
        <w:t>R</w:t>
      </w:r>
      <w:r w:rsidR="00A32FBD">
        <w:t>eference Group</w:t>
      </w:r>
      <w:r w:rsidR="00B9278E">
        <w:t xml:space="preserve"> me</w:t>
      </w:r>
      <w:r w:rsidR="007527E1">
        <w:t>mbers</w:t>
      </w:r>
      <w:r w:rsidR="00B9278E">
        <w:t xml:space="preserve"> and other </w:t>
      </w:r>
      <w:r>
        <w:t xml:space="preserve">stakeholders. </w:t>
      </w:r>
      <w:r w:rsidR="00281AD3">
        <w:t>The</w:t>
      </w:r>
      <w:r>
        <w:t>se fora will provide discipline communities with opportunities</w:t>
      </w:r>
      <w:r w:rsidR="00360316">
        <w:t xml:space="preserve"> to</w:t>
      </w:r>
      <w:r w:rsidR="00281AD3">
        <w:t xml:space="preserve"> </w:t>
      </w:r>
      <w:r w:rsidR="00DB031F">
        <w:t xml:space="preserve">canvass, </w:t>
      </w:r>
      <w:r w:rsidR="00281AD3">
        <w:t xml:space="preserve">reflect </w:t>
      </w:r>
      <w:r w:rsidR="00FC437A">
        <w:t>on and organise around common</w:t>
      </w:r>
      <w:r w:rsidR="00DB031F">
        <w:t xml:space="preserve"> concerns. </w:t>
      </w:r>
      <w:r w:rsidR="007102F1">
        <w:br w:type="page"/>
      </w:r>
      <w:bookmarkStart w:id="36" w:name="_Toc315255746"/>
      <w:bookmarkStart w:id="37" w:name="_Toc315257546"/>
      <w:bookmarkStart w:id="38" w:name="_Toc315258635"/>
    </w:p>
    <w:p w:rsidR="00942A41" w:rsidRPr="00486427" w:rsidRDefault="00942A41" w:rsidP="00F14F3B">
      <w:pPr>
        <w:pStyle w:val="Heading1"/>
        <w:spacing w:line="240" w:lineRule="auto"/>
      </w:pPr>
      <w:bookmarkStart w:id="39" w:name="_Toc422213337"/>
      <w:bookmarkStart w:id="40" w:name="_Toc422213394"/>
      <w:r w:rsidRPr="00486427">
        <w:rPr>
          <w:szCs w:val="40"/>
        </w:rPr>
        <w:lastRenderedPageBreak/>
        <w:t>Ap</w:t>
      </w:r>
      <w:r w:rsidR="008E5E40">
        <w:rPr>
          <w:szCs w:val="40"/>
        </w:rPr>
        <w:t>pendix 1</w:t>
      </w:r>
      <w:r w:rsidRPr="00486427">
        <w:rPr>
          <w:szCs w:val="40"/>
        </w:rPr>
        <w:t xml:space="preserve">: JoMeC </w:t>
      </w:r>
      <w:r w:rsidR="00AF5FA0">
        <w:rPr>
          <w:szCs w:val="40"/>
        </w:rPr>
        <w:t>Network Team and</w:t>
      </w:r>
      <w:r w:rsidR="00A31276" w:rsidRPr="00486427">
        <w:rPr>
          <w:szCs w:val="40"/>
        </w:rPr>
        <w:t xml:space="preserve"> </w:t>
      </w:r>
      <w:r w:rsidR="005332C1" w:rsidRPr="00486427">
        <w:rPr>
          <w:szCs w:val="40"/>
        </w:rPr>
        <w:t>Contributors</w:t>
      </w:r>
      <w:bookmarkEnd w:id="39"/>
      <w:bookmarkEnd w:id="40"/>
    </w:p>
    <w:p w:rsidR="0017038C" w:rsidRPr="0017038C" w:rsidRDefault="005332C1" w:rsidP="00F14F3B">
      <w:pPr>
        <w:pStyle w:val="Heading2"/>
      </w:pPr>
      <w:bookmarkStart w:id="41" w:name="_Toc422213338"/>
      <w:bookmarkStart w:id="42" w:name="_Toc422213395"/>
      <w:r w:rsidRPr="00FD19AA">
        <w:t>JoMeC Network Leaders</w:t>
      </w:r>
      <w:bookmarkEnd w:id="41"/>
      <w:bookmarkEnd w:id="42"/>
    </w:p>
    <w:p w:rsidR="005332C1" w:rsidRDefault="005332C1" w:rsidP="00050D8D">
      <w:pPr>
        <w:spacing w:line="180" w:lineRule="atLeast"/>
      </w:pPr>
      <w:r>
        <w:t>Assoc Prof Rhonda Breit</w:t>
      </w:r>
      <w:r w:rsidR="00C87E94">
        <w:t xml:space="preserve"> (JEAA Executive)</w:t>
      </w:r>
    </w:p>
    <w:p w:rsidR="005332C1" w:rsidRDefault="005332C1" w:rsidP="00050D8D">
      <w:pPr>
        <w:spacing w:line="180" w:lineRule="atLeast"/>
      </w:pPr>
      <w:r>
        <w:t>Assoc Prof Anne Dunn</w:t>
      </w:r>
      <w:r w:rsidR="00C87E94">
        <w:t xml:space="preserve"> (JEAA President and former ANZCA President)</w:t>
      </w:r>
    </w:p>
    <w:p w:rsidR="008E5E40" w:rsidRDefault="008E5E40" w:rsidP="00050D8D">
      <w:pPr>
        <w:spacing w:line="180" w:lineRule="atLeast"/>
      </w:pPr>
      <w:r>
        <w:t>Assoc Prof Angela Romano (JEAA/JERAA Executive)</w:t>
      </w:r>
    </w:p>
    <w:p w:rsidR="00C01F87" w:rsidRDefault="00C01F87" w:rsidP="00C01F87">
      <w:pPr>
        <w:spacing w:line="180" w:lineRule="atLeast"/>
      </w:pPr>
    </w:p>
    <w:p w:rsidR="00C01F87" w:rsidRDefault="00C01F87" w:rsidP="00C01F87">
      <w:pPr>
        <w:spacing w:line="180" w:lineRule="atLeast"/>
      </w:pPr>
      <w:r>
        <w:t xml:space="preserve">Breit replaced Dunn as Project Leader following the latter’s death in July 2012. Romano assumed leadership </w:t>
      </w:r>
      <w:r w:rsidR="00FC437A">
        <w:t>for several</w:t>
      </w:r>
      <w:r>
        <w:t xml:space="preserve"> months and oversaw the Issues Framing process in 2013 when work commitments meant that Assoc Prof Breit was temporarily unable to fulfil that function. Following completion of the project’</w:t>
      </w:r>
      <w:r w:rsidR="00FC437A">
        <w:t>s main activities in 2014, Romano</w:t>
      </w:r>
      <w:r>
        <w:t xml:space="preserve"> oversees the Network’s continuing functions via her role as JERAA Vice-President (Networks).</w:t>
      </w:r>
    </w:p>
    <w:p w:rsidR="005332C1" w:rsidRPr="00FD19AA" w:rsidRDefault="00C01F87" w:rsidP="00F14F3B">
      <w:pPr>
        <w:pStyle w:val="Heading2"/>
      </w:pPr>
      <w:bookmarkStart w:id="43" w:name="_Toc422213339"/>
      <w:bookmarkStart w:id="44" w:name="_Toc422213396"/>
      <w:r>
        <w:t>Steering Committee</w:t>
      </w:r>
      <w:bookmarkEnd w:id="43"/>
      <w:bookmarkEnd w:id="44"/>
    </w:p>
    <w:p w:rsidR="00C87E94" w:rsidRDefault="00C87E94" w:rsidP="00050D8D">
      <w:pPr>
        <w:spacing w:line="180" w:lineRule="atLeast"/>
      </w:pPr>
      <w:r>
        <w:t>Assoc Prof Chika Anyanwu, Charles Sturt Univ</w:t>
      </w:r>
      <w:r w:rsidR="008E5E40">
        <w:t>ersity (Former ANZCA President)</w:t>
      </w:r>
    </w:p>
    <w:p w:rsidR="00C87E94" w:rsidRDefault="00C87E94" w:rsidP="00050D8D">
      <w:pPr>
        <w:spacing w:line="180" w:lineRule="atLeast"/>
      </w:pPr>
      <w:r>
        <w:t>Dr Kathryn Bowd, University of Adelaide (JEAA/JERAA Executive)</w:t>
      </w:r>
    </w:p>
    <w:p w:rsidR="00C87E94" w:rsidRDefault="00C87E94" w:rsidP="00050D8D">
      <w:pPr>
        <w:spacing w:line="180" w:lineRule="atLeast"/>
      </w:pPr>
      <w:r>
        <w:t>Dr Diana Bossio, Swinburne University (ANZCA Vice-President)</w:t>
      </w:r>
    </w:p>
    <w:p w:rsidR="00AF4C3C" w:rsidRDefault="00AF4C3C" w:rsidP="00AF4C3C">
      <w:pPr>
        <w:spacing w:line="180" w:lineRule="atLeast"/>
      </w:pPr>
      <w:r>
        <w:t>Assoc Prof Rhonda Breit</w:t>
      </w:r>
      <w:r w:rsidR="00C01F87">
        <w:t>, University of Queensland</w:t>
      </w:r>
      <w:r>
        <w:t xml:space="preserve"> (JEAA Executive)</w:t>
      </w:r>
    </w:p>
    <w:p w:rsidR="00C87E94" w:rsidRDefault="00A31276" w:rsidP="00050D8D">
      <w:pPr>
        <w:spacing w:line="180" w:lineRule="atLeast"/>
      </w:pPr>
      <w:r>
        <w:t>Assoc Prof</w:t>
      </w:r>
      <w:r w:rsidR="008E5E40">
        <w:t xml:space="preserve"> Joy Chia, Monash University</w:t>
      </w:r>
    </w:p>
    <w:p w:rsidR="00C87E94" w:rsidRDefault="00C87E94" w:rsidP="00050D8D">
      <w:pPr>
        <w:spacing w:line="180" w:lineRule="atLeast"/>
      </w:pPr>
      <w:r>
        <w:t>Assoc Prof Kristin Demetrious, Deakin University</w:t>
      </w:r>
    </w:p>
    <w:p w:rsidR="005A78D5" w:rsidRDefault="005A78D5" w:rsidP="005A78D5">
      <w:pPr>
        <w:spacing w:line="180" w:lineRule="atLeast"/>
      </w:pPr>
      <w:r>
        <w:t>Dr Renae Desai, Murdoch University</w:t>
      </w:r>
    </w:p>
    <w:p w:rsidR="00C87E94" w:rsidRDefault="00A31276" w:rsidP="00050D8D">
      <w:pPr>
        <w:spacing w:line="180" w:lineRule="atLeast"/>
      </w:pPr>
      <w:r>
        <w:t xml:space="preserve">Dr </w:t>
      </w:r>
      <w:r w:rsidR="00C87E94">
        <w:t>Kate Fitch, Murdoch University</w:t>
      </w:r>
    </w:p>
    <w:p w:rsidR="00C87E94" w:rsidRDefault="00A31276" w:rsidP="00050D8D">
      <w:pPr>
        <w:spacing w:line="180" w:lineRule="atLeast"/>
      </w:pPr>
      <w:r>
        <w:t>Assoc Prof</w:t>
      </w:r>
      <w:r w:rsidR="00C87E94">
        <w:t xml:space="preserve"> Terence Lee, Murdo</w:t>
      </w:r>
      <w:r w:rsidR="008E5E40">
        <w:t>ch University (ANZCA President)</w:t>
      </w:r>
    </w:p>
    <w:p w:rsidR="00C87E94" w:rsidRDefault="00C87E94" w:rsidP="00050D8D">
      <w:pPr>
        <w:spacing w:line="180" w:lineRule="atLeast"/>
      </w:pPr>
      <w:r>
        <w:t>Assoc Prof Kerry McCallum, University of Canberra (ANZCA Executive)</w:t>
      </w:r>
    </w:p>
    <w:p w:rsidR="00C87E94" w:rsidRDefault="00A31276" w:rsidP="00050D8D">
      <w:pPr>
        <w:spacing w:line="180" w:lineRule="atLeast"/>
      </w:pPr>
      <w:r>
        <w:t>Assoc Prof</w:t>
      </w:r>
      <w:r w:rsidR="00C87E94">
        <w:t xml:space="preserve"> Penny O’Donnell, University of Sydney</w:t>
      </w:r>
    </w:p>
    <w:p w:rsidR="00C87E94" w:rsidRDefault="00A31276" w:rsidP="00050D8D">
      <w:pPr>
        <w:spacing w:line="180" w:lineRule="atLeast"/>
      </w:pPr>
      <w:r>
        <w:t>Prof</w:t>
      </w:r>
      <w:r w:rsidR="00C87E94">
        <w:t xml:space="preserve"> Ian Richards, University of </w:t>
      </w:r>
      <w:r w:rsidR="008E5E40">
        <w:t>Adelaide (JEAA/JERAA Executive)</w:t>
      </w:r>
    </w:p>
    <w:p w:rsidR="00C87E94" w:rsidRDefault="00A31276" w:rsidP="00050D8D">
      <w:pPr>
        <w:spacing w:line="180" w:lineRule="atLeast"/>
      </w:pPr>
      <w:r>
        <w:t>Assoc Prof</w:t>
      </w:r>
      <w:r w:rsidR="00C87E94">
        <w:t xml:space="preserve"> Angela Romano, Queensland University of Technology (JEAA/JERAA Executive)</w:t>
      </w:r>
    </w:p>
    <w:p w:rsidR="005A78D5" w:rsidRDefault="005A78D5" w:rsidP="005A78D5">
      <w:pPr>
        <w:spacing w:line="180" w:lineRule="atLeast"/>
      </w:pPr>
      <w:r>
        <w:t>Dr Katharina Wolf, Curtin University</w:t>
      </w:r>
    </w:p>
    <w:p w:rsidR="008E5E40" w:rsidRDefault="008E5E40" w:rsidP="005A78D5">
      <w:pPr>
        <w:spacing w:line="180" w:lineRule="atLeast"/>
      </w:pPr>
    </w:p>
    <w:p w:rsidR="008E5E40" w:rsidRDefault="008E5E40" w:rsidP="008E5E40">
      <w:pPr>
        <w:spacing w:line="180" w:lineRule="atLeast"/>
      </w:pPr>
      <w:r>
        <w:t>Mr Julian Kenny (</w:t>
      </w:r>
      <w:r w:rsidRPr="00991610">
        <w:t>Public Relations Institute of Australia</w:t>
      </w:r>
      <w:r>
        <w:t>), Professor Kerry Green (University of South Australia),</w:t>
      </w:r>
      <w:r w:rsidRPr="001A15AA">
        <w:t xml:space="preserve"> Associate Professor Stephen Tanner</w:t>
      </w:r>
      <w:r>
        <w:t xml:space="preserve"> (University of Wollongong)</w:t>
      </w:r>
      <w:r w:rsidRPr="001A15AA">
        <w:t xml:space="preserve">, Associate Professor Trevor Cullen </w:t>
      </w:r>
      <w:r>
        <w:t xml:space="preserve">(Edith Cowan University) </w:t>
      </w:r>
      <w:r w:rsidRPr="001A15AA">
        <w:t xml:space="preserve">and </w:t>
      </w:r>
      <w:r>
        <w:t xml:space="preserve">Dr </w:t>
      </w:r>
      <w:r w:rsidRPr="001A15AA">
        <w:t>Marcus O’Donnell</w:t>
      </w:r>
      <w:r>
        <w:t xml:space="preserve"> (University of Wollongong) were not members of the Steering Committee, but provided pertinent advice that significantly assisted the JoMeC Network.</w:t>
      </w:r>
    </w:p>
    <w:p w:rsidR="005332C1" w:rsidRPr="00FD19AA" w:rsidRDefault="005332C1" w:rsidP="00F14F3B">
      <w:pPr>
        <w:pStyle w:val="Heading2"/>
      </w:pPr>
      <w:bookmarkStart w:id="45" w:name="_Toc422213340"/>
      <w:bookmarkStart w:id="46" w:name="_Toc422213397"/>
      <w:r w:rsidRPr="00FD19AA">
        <w:t>Project Managers</w:t>
      </w:r>
      <w:bookmarkEnd w:id="45"/>
      <w:bookmarkEnd w:id="46"/>
    </w:p>
    <w:p w:rsidR="005332C1" w:rsidRDefault="005332C1" w:rsidP="00050D8D">
      <w:pPr>
        <w:spacing w:line="180" w:lineRule="atLeast"/>
      </w:pPr>
      <w:r>
        <w:t>Ms Alice Crawford</w:t>
      </w:r>
      <w:r w:rsidR="000E17A2">
        <w:t xml:space="preserve"> (2012–13)</w:t>
      </w:r>
    </w:p>
    <w:p w:rsidR="000E17A2" w:rsidRDefault="005332C1" w:rsidP="00050D8D">
      <w:pPr>
        <w:spacing w:line="180" w:lineRule="atLeast"/>
      </w:pPr>
      <w:r>
        <w:t>Ms Trina McLellan</w:t>
      </w:r>
      <w:r w:rsidR="00245663">
        <w:t xml:space="preserve"> (2013–15</w:t>
      </w:r>
      <w:r w:rsidR="000E17A2">
        <w:t>)</w:t>
      </w:r>
    </w:p>
    <w:p w:rsidR="00F14F3B" w:rsidRDefault="00F14F3B" w:rsidP="00F14F3B">
      <w:pPr>
        <w:pStyle w:val="Heading2"/>
        <w:sectPr w:rsidR="00F14F3B" w:rsidSect="00F14F3B">
          <w:pgSz w:w="11907" w:h="16840" w:code="9"/>
          <w:pgMar w:top="1384" w:right="1440" w:bottom="1440" w:left="1440" w:header="720" w:footer="595" w:gutter="0"/>
          <w:cols w:space="720"/>
          <w:docGrid w:linePitch="360"/>
        </w:sectPr>
      </w:pPr>
    </w:p>
    <w:p w:rsidR="00F14F3B" w:rsidRDefault="00F14F3B" w:rsidP="00F14F3B">
      <w:pPr>
        <w:pStyle w:val="Heading2"/>
        <w:sectPr w:rsidR="00F14F3B" w:rsidSect="00FB7445">
          <w:type w:val="continuous"/>
          <w:pgSz w:w="11907" w:h="16840" w:code="9"/>
          <w:pgMar w:top="1384" w:right="1440" w:bottom="1440" w:left="1440" w:header="720" w:footer="595" w:gutter="0"/>
          <w:pgNumType w:start="0"/>
          <w:cols w:space="720"/>
          <w:titlePg/>
          <w:docGrid w:linePitch="360"/>
        </w:sectPr>
      </w:pPr>
    </w:p>
    <w:p w:rsidR="005332C1" w:rsidRPr="00FD19AA" w:rsidRDefault="00050D8D" w:rsidP="00F14F3B">
      <w:pPr>
        <w:pStyle w:val="Heading2"/>
      </w:pPr>
      <w:bookmarkStart w:id="47" w:name="_Toc422213341"/>
      <w:bookmarkStart w:id="48" w:name="_Toc422213398"/>
      <w:r>
        <w:lastRenderedPageBreak/>
        <w:t>Contribution of Kerry McCallum to the Network and</w:t>
      </w:r>
      <w:r w:rsidR="005332C1" w:rsidRPr="00FD19AA">
        <w:t xml:space="preserve"> Final Report</w:t>
      </w:r>
      <w:bookmarkEnd w:id="47"/>
      <w:bookmarkEnd w:id="48"/>
    </w:p>
    <w:p w:rsidR="00650586" w:rsidRDefault="005332C1" w:rsidP="00C01F87">
      <w:pPr>
        <w:spacing w:line="180" w:lineRule="atLeast"/>
      </w:pPr>
      <w:r>
        <w:t>Kerry McCallum</w:t>
      </w:r>
      <w:r w:rsidR="00050D8D">
        <w:t xml:space="preserve"> has been a key c</w:t>
      </w:r>
      <w:r w:rsidR="00AF4C3C">
        <w:t>ontributor to the JoMeC Network. H</w:t>
      </w:r>
      <w:r w:rsidR="00050D8D">
        <w:t xml:space="preserve">er </w:t>
      </w:r>
      <w:r w:rsidR="00AF4C3C">
        <w:t xml:space="preserve">early </w:t>
      </w:r>
      <w:r w:rsidR="00AF5FA0">
        <w:t>analysis</w:t>
      </w:r>
      <w:r w:rsidR="000E17A2">
        <w:t>, insights</w:t>
      </w:r>
      <w:r w:rsidR="00AF5FA0">
        <w:t xml:space="preserve"> and </w:t>
      </w:r>
      <w:r w:rsidR="00AF4C3C">
        <w:t>writ</w:t>
      </w:r>
      <w:r w:rsidR="00AF5FA0">
        <w:t xml:space="preserve">ten </w:t>
      </w:r>
      <w:r w:rsidR="000E17A2">
        <w:t xml:space="preserve">internal </w:t>
      </w:r>
      <w:r w:rsidR="00AF5FA0">
        <w:t>reports</w:t>
      </w:r>
      <w:r w:rsidR="00AF4C3C">
        <w:t xml:space="preserve"> </w:t>
      </w:r>
      <w:r w:rsidR="00050D8D">
        <w:t xml:space="preserve">provided important </w:t>
      </w:r>
      <w:r w:rsidR="00AF4C3C">
        <w:t>conceptual framewo</w:t>
      </w:r>
      <w:r w:rsidR="000E17A2">
        <w:t xml:space="preserve">rks for the project’s methodologies, progress and outcomes. </w:t>
      </w:r>
      <w:r w:rsidR="00AF4C3C">
        <w:t>She also offered invaluable assistance by reviewing and critiquing the Network</w:t>
      </w:r>
      <w:r w:rsidR="008E5E40">
        <w:t>’</w:t>
      </w:r>
      <w:r w:rsidR="00AF4C3C">
        <w:t>s Final Report</w:t>
      </w:r>
      <w:r w:rsidR="00CA0CA7">
        <w:t>.</w:t>
      </w:r>
    </w:p>
    <w:p w:rsidR="002921DA" w:rsidRDefault="00050D8D" w:rsidP="00F14F3B">
      <w:pPr>
        <w:pStyle w:val="Heading1"/>
        <w:spacing w:line="276" w:lineRule="auto"/>
        <w:rPr>
          <w:color w:val="auto"/>
          <w:sz w:val="40"/>
        </w:rPr>
      </w:pPr>
      <w:r>
        <w:br w:type="page"/>
      </w:r>
      <w:bookmarkStart w:id="49" w:name="_Toc422213342"/>
      <w:bookmarkStart w:id="50" w:name="_Toc422213399"/>
      <w:r w:rsidR="008E5E40">
        <w:lastRenderedPageBreak/>
        <w:t>Appendix 2</w:t>
      </w:r>
      <w:r w:rsidRPr="00050D8D">
        <w:t>: Endorsement of the Threshold Learning Outcomes by ANZCA</w:t>
      </w:r>
      <w:r w:rsidR="00540279">
        <w:rPr>
          <w:noProof/>
          <w:lang w:eastAsia="en-AU"/>
        </w:rPr>
        <w:drawing>
          <wp:inline distT="0" distB="0" distL="0" distR="0" wp14:anchorId="5074CD2E" wp14:editId="2BF0341B">
            <wp:extent cx="5448300" cy="7988300"/>
            <wp:effectExtent l="19050" t="0" r="0" b="0"/>
            <wp:docPr id="1" name="Picture 1" descr="Macintosh HD:Users:trinamclellan:Dropbox:JoMeC:5. Final report:ANZCA endorsement lett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inamclellan:Dropbox:JoMeC:5. Final report:ANZCA endorsement letter.pdf"/>
                    <pic:cNvPicPr>
                      <a:picLocks noChangeAspect="1" noChangeArrowheads="1"/>
                    </pic:cNvPicPr>
                  </pic:nvPicPr>
                  <pic:blipFill>
                    <a:blip r:embed="rId20"/>
                    <a:srcRect l="9076" t="7697" r="7715" b="5452"/>
                    <a:stretch>
                      <a:fillRect/>
                    </a:stretch>
                  </pic:blipFill>
                  <pic:spPr bwMode="auto">
                    <a:xfrm>
                      <a:off x="0" y="0"/>
                      <a:ext cx="5448300" cy="7988300"/>
                    </a:xfrm>
                    <a:prstGeom prst="rect">
                      <a:avLst/>
                    </a:prstGeom>
                    <a:noFill/>
                    <a:ln w="9525">
                      <a:noFill/>
                      <a:miter lim="800000"/>
                      <a:headEnd/>
                      <a:tailEnd/>
                    </a:ln>
                  </pic:spPr>
                </pic:pic>
              </a:graphicData>
            </a:graphic>
          </wp:inline>
        </w:drawing>
      </w:r>
      <w:bookmarkEnd w:id="49"/>
      <w:bookmarkEnd w:id="50"/>
    </w:p>
    <w:p w:rsidR="00851E99" w:rsidRDefault="008E5E40" w:rsidP="00F14F3B">
      <w:pPr>
        <w:pStyle w:val="Heading1"/>
        <w:spacing w:line="240" w:lineRule="auto"/>
      </w:pPr>
      <w:bookmarkStart w:id="51" w:name="_Toc422213343"/>
      <w:bookmarkStart w:id="52" w:name="_Toc422213400"/>
      <w:r>
        <w:lastRenderedPageBreak/>
        <w:t>Appendix 3</w:t>
      </w:r>
      <w:r w:rsidR="00851E99" w:rsidRPr="00851E99">
        <w:t>: Endorsement of Threshold Learning Outcomes by JERAA</w:t>
      </w:r>
      <w:bookmarkEnd w:id="51"/>
      <w:bookmarkEnd w:id="52"/>
    </w:p>
    <w:p w:rsidR="00851E99" w:rsidRPr="00851E99" w:rsidRDefault="00851E99">
      <w:pPr>
        <w:widowControl/>
        <w:suppressAutoHyphens w:val="0"/>
        <w:rPr>
          <w:b/>
          <w:szCs w:val="24"/>
        </w:rPr>
      </w:pPr>
    </w:p>
    <w:p w:rsidR="006F0148" w:rsidRDefault="00540279" w:rsidP="006F0148">
      <w:pPr>
        <w:jc w:val="center"/>
      </w:pPr>
      <w:r>
        <w:rPr>
          <w:noProof/>
          <w:lang w:eastAsia="en-AU"/>
        </w:rPr>
        <w:drawing>
          <wp:inline distT="0" distB="0" distL="0" distR="0" wp14:anchorId="390BB3D8" wp14:editId="10FF3C9D">
            <wp:extent cx="2127250" cy="628650"/>
            <wp:effectExtent l="19050" t="0" r="6350" b="0"/>
            <wp:docPr id="2" name="Picture 2" descr="Journalism Education and Research Association of Australia Incorporated">
              <a:hlinkClick xmlns:a="http://schemas.openxmlformats.org/drawingml/2006/main" r:id="rId21" tooltip="&quot;Journalism Education and Research Association of Australia Incorporat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alism Education and Research Association of Australia Incorporated">
                      <a:hlinkClick r:id="rId21" tooltip="&quot;Journalism Education and Research Association of Australia Incorporated&quot;"/>
                    </pic:cNvPr>
                    <pic:cNvPicPr>
                      <a:picLocks noChangeAspect="1" noChangeArrowheads="1"/>
                    </pic:cNvPicPr>
                  </pic:nvPicPr>
                  <pic:blipFill>
                    <a:blip r:embed="rId22"/>
                    <a:srcRect/>
                    <a:stretch>
                      <a:fillRect/>
                    </a:stretch>
                  </pic:blipFill>
                  <pic:spPr bwMode="auto">
                    <a:xfrm>
                      <a:off x="0" y="0"/>
                      <a:ext cx="2127250" cy="628650"/>
                    </a:xfrm>
                    <a:prstGeom prst="rect">
                      <a:avLst/>
                    </a:prstGeom>
                    <a:noFill/>
                    <a:ln w="9525">
                      <a:noFill/>
                      <a:miter lim="800000"/>
                      <a:headEnd/>
                      <a:tailEnd/>
                    </a:ln>
                  </pic:spPr>
                </pic:pic>
              </a:graphicData>
            </a:graphic>
          </wp:inline>
        </w:drawing>
      </w:r>
    </w:p>
    <w:p w:rsidR="006F0148" w:rsidRPr="006F0148" w:rsidRDefault="006F0148" w:rsidP="006F0148">
      <w:pPr>
        <w:rPr>
          <w:sz w:val="20"/>
          <w:szCs w:val="20"/>
        </w:rPr>
      </w:pPr>
      <w:r w:rsidRPr="006F0148">
        <w:rPr>
          <w:sz w:val="20"/>
          <w:szCs w:val="20"/>
        </w:rPr>
        <w:t>Prof Matthew Ricketson</w:t>
      </w:r>
    </w:p>
    <w:p w:rsidR="006F0148" w:rsidRPr="006F0148" w:rsidRDefault="006F0148" w:rsidP="006F0148">
      <w:pPr>
        <w:rPr>
          <w:sz w:val="20"/>
          <w:szCs w:val="20"/>
        </w:rPr>
      </w:pPr>
      <w:r w:rsidRPr="006F0148">
        <w:rPr>
          <w:sz w:val="20"/>
          <w:szCs w:val="20"/>
        </w:rPr>
        <w:t>President</w:t>
      </w:r>
    </w:p>
    <w:p w:rsidR="006F0148" w:rsidRPr="006F0148" w:rsidRDefault="006F0148" w:rsidP="006F0148">
      <w:pPr>
        <w:rPr>
          <w:sz w:val="20"/>
          <w:szCs w:val="20"/>
        </w:rPr>
      </w:pPr>
      <w:r w:rsidRPr="006F0148">
        <w:rPr>
          <w:sz w:val="20"/>
          <w:szCs w:val="20"/>
        </w:rPr>
        <w:t>Journalism Education &amp; Research Association of Australia</w:t>
      </w:r>
    </w:p>
    <w:p w:rsidR="006F0148" w:rsidRPr="006F0148" w:rsidRDefault="006F0148" w:rsidP="006F0148">
      <w:pPr>
        <w:rPr>
          <w:sz w:val="20"/>
          <w:szCs w:val="20"/>
        </w:rPr>
      </w:pPr>
      <w:r w:rsidRPr="006F0148">
        <w:rPr>
          <w:sz w:val="20"/>
          <w:szCs w:val="20"/>
        </w:rPr>
        <w:t>Building 9B41, Faculty of Arts &amp; Design</w:t>
      </w:r>
    </w:p>
    <w:p w:rsidR="006F0148" w:rsidRPr="006F0148" w:rsidRDefault="006F0148" w:rsidP="006F0148">
      <w:pPr>
        <w:rPr>
          <w:sz w:val="20"/>
          <w:szCs w:val="20"/>
        </w:rPr>
      </w:pPr>
      <w:r w:rsidRPr="006F0148">
        <w:rPr>
          <w:sz w:val="20"/>
          <w:szCs w:val="20"/>
        </w:rPr>
        <w:t>Locked Bag 1</w:t>
      </w:r>
    </w:p>
    <w:p w:rsidR="006F0148" w:rsidRPr="006F0148" w:rsidRDefault="006F0148" w:rsidP="006F0148">
      <w:pPr>
        <w:rPr>
          <w:sz w:val="20"/>
          <w:szCs w:val="20"/>
        </w:rPr>
      </w:pPr>
      <w:r w:rsidRPr="006F0148">
        <w:rPr>
          <w:sz w:val="20"/>
          <w:szCs w:val="20"/>
        </w:rPr>
        <w:t>University of Canberra  ACT  2601</w:t>
      </w:r>
    </w:p>
    <w:p w:rsidR="006F0148" w:rsidRPr="006F0148" w:rsidRDefault="006F0148" w:rsidP="006F0148">
      <w:pPr>
        <w:rPr>
          <w:sz w:val="20"/>
          <w:szCs w:val="20"/>
        </w:rPr>
      </w:pPr>
      <w:r w:rsidRPr="006F0148">
        <w:rPr>
          <w:sz w:val="20"/>
          <w:szCs w:val="20"/>
        </w:rPr>
        <w:t xml:space="preserve">Email: </w:t>
      </w:r>
      <w:hyperlink r:id="rId23" w:history="1">
        <w:r w:rsidRPr="006F0148">
          <w:rPr>
            <w:rStyle w:val="Hyperlink"/>
            <w:sz w:val="20"/>
            <w:szCs w:val="20"/>
          </w:rPr>
          <w:t>matthew.ricketson@canberra.edu.au</w:t>
        </w:r>
      </w:hyperlink>
      <w:r w:rsidRPr="006F0148">
        <w:rPr>
          <w:sz w:val="20"/>
          <w:szCs w:val="20"/>
        </w:rPr>
        <w:t xml:space="preserve">. </w:t>
      </w:r>
    </w:p>
    <w:p w:rsidR="006F0148" w:rsidRPr="006F0148" w:rsidRDefault="006F0148" w:rsidP="006F0148">
      <w:pPr>
        <w:rPr>
          <w:sz w:val="20"/>
          <w:szCs w:val="20"/>
        </w:rPr>
      </w:pPr>
    </w:p>
    <w:p w:rsidR="006F0148" w:rsidRPr="006F0148" w:rsidRDefault="006F0148" w:rsidP="006F0148">
      <w:pPr>
        <w:jc w:val="center"/>
        <w:rPr>
          <w:b/>
          <w:sz w:val="20"/>
          <w:szCs w:val="20"/>
        </w:rPr>
      </w:pPr>
      <w:r w:rsidRPr="006F0148">
        <w:rPr>
          <w:b/>
          <w:sz w:val="20"/>
          <w:szCs w:val="20"/>
        </w:rPr>
        <w:t>Endorsement of JoMeC Network Project Outcomes</w:t>
      </w:r>
    </w:p>
    <w:p w:rsidR="006F0148" w:rsidRPr="006F0148" w:rsidRDefault="006F0148" w:rsidP="006F0148">
      <w:pPr>
        <w:rPr>
          <w:sz w:val="20"/>
          <w:szCs w:val="20"/>
        </w:rPr>
      </w:pPr>
    </w:p>
    <w:p w:rsidR="006F0148" w:rsidRPr="006F0148" w:rsidRDefault="006F0148" w:rsidP="006F0148">
      <w:pPr>
        <w:rPr>
          <w:sz w:val="20"/>
          <w:szCs w:val="20"/>
        </w:rPr>
      </w:pPr>
      <w:r w:rsidRPr="006F0148">
        <w:rPr>
          <w:sz w:val="20"/>
          <w:szCs w:val="20"/>
        </w:rPr>
        <w:t>The Journalism Education &amp; Research Association of Australia (JERAA, formerly the Journalism Education Association of Australia) endorses the outcomes of the JoMeC Network project.</w:t>
      </w:r>
    </w:p>
    <w:p w:rsidR="006F0148" w:rsidRPr="006F0148" w:rsidRDefault="006F0148" w:rsidP="006F0148">
      <w:pPr>
        <w:rPr>
          <w:sz w:val="20"/>
          <w:szCs w:val="20"/>
        </w:rPr>
      </w:pPr>
    </w:p>
    <w:p w:rsidR="006F0148" w:rsidRPr="006F0148" w:rsidRDefault="006F0148" w:rsidP="006F0148">
      <w:pPr>
        <w:rPr>
          <w:sz w:val="20"/>
          <w:szCs w:val="20"/>
        </w:rPr>
      </w:pPr>
      <w:r w:rsidRPr="006F0148">
        <w:rPr>
          <w:sz w:val="20"/>
          <w:szCs w:val="20"/>
        </w:rPr>
        <w:t>The JoMeC Network has canvassed a wide variety of academics, peak bodies and other stakeholders in its development of Threshold Learning Outcome (TLO) statements for the JoMeC disciplines. The JERAA endorses the TLO statement for Journalism as being a suitable benchmark that represents the minimum learning outcomes for students who successfully complete a Bachelor degree in that discipline. The JERAA does not formally represent Public Relations scholars obviously but we note that a suitably robust methodology has been used to develop the TLO statement for that related field. We endorse the statements as being r</w:t>
      </w:r>
      <w:r w:rsidR="003D287B">
        <w:rPr>
          <w:sz w:val="20"/>
          <w:szCs w:val="20"/>
        </w:rPr>
        <w:t>eady for review by the Office for</w:t>
      </w:r>
      <w:r w:rsidR="00836152">
        <w:rPr>
          <w:sz w:val="20"/>
          <w:szCs w:val="20"/>
        </w:rPr>
        <w:t xml:space="preserve"> Learning &amp;</w:t>
      </w:r>
      <w:r w:rsidRPr="006F0148">
        <w:rPr>
          <w:sz w:val="20"/>
          <w:szCs w:val="20"/>
        </w:rPr>
        <w:t xml:space="preserve"> Teaching</w:t>
      </w:r>
      <w:r w:rsidR="003D287B">
        <w:rPr>
          <w:sz w:val="20"/>
          <w:szCs w:val="20"/>
        </w:rPr>
        <w:t xml:space="preserve"> (OLT)</w:t>
      </w:r>
      <w:r w:rsidRPr="006F0148">
        <w:rPr>
          <w:sz w:val="20"/>
          <w:szCs w:val="20"/>
        </w:rPr>
        <w:t>.</w:t>
      </w:r>
    </w:p>
    <w:p w:rsidR="006F0148" w:rsidRPr="006F0148" w:rsidRDefault="006F0148" w:rsidP="006F0148">
      <w:pPr>
        <w:rPr>
          <w:sz w:val="20"/>
          <w:szCs w:val="20"/>
        </w:rPr>
      </w:pPr>
    </w:p>
    <w:p w:rsidR="006F0148" w:rsidRPr="006F0148" w:rsidRDefault="006F0148" w:rsidP="006F0148">
      <w:pPr>
        <w:rPr>
          <w:sz w:val="20"/>
          <w:szCs w:val="20"/>
        </w:rPr>
      </w:pPr>
      <w:r w:rsidRPr="006F0148">
        <w:rPr>
          <w:sz w:val="20"/>
          <w:szCs w:val="20"/>
        </w:rPr>
        <w:t>The JERAA has promoted the TLO statements and assisted their development by hosting the JoMeC Network web portal on our website and hosting designated JoMeC sessions at our 2012 and 2013 annual conferences. The JERAA will continue to provide forums at our annual conferences for designated JoMeC sessions in which members and other stakeholders can revise TLO statements and deliberate about issues and developments in learning and teaching affecting jour</w:t>
      </w:r>
      <w:r w:rsidR="004D5808">
        <w:rPr>
          <w:sz w:val="20"/>
          <w:szCs w:val="20"/>
        </w:rPr>
        <w:t>nalism, media and communication</w:t>
      </w:r>
      <w:r w:rsidRPr="006F0148">
        <w:rPr>
          <w:sz w:val="20"/>
          <w:szCs w:val="20"/>
        </w:rPr>
        <w:t>.</w:t>
      </w:r>
    </w:p>
    <w:p w:rsidR="006F0148" w:rsidRPr="006F0148" w:rsidRDefault="006F0148" w:rsidP="006F0148">
      <w:pPr>
        <w:rPr>
          <w:sz w:val="20"/>
          <w:szCs w:val="20"/>
        </w:rPr>
      </w:pPr>
    </w:p>
    <w:p w:rsidR="006F0148" w:rsidRPr="006F0148" w:rsidRDefault="006F0148" w:rsidP="006F0148">
      <w:pPr>
        <w:rPr>
          <w:sz w:val="20"/>
          <w:szCs w:val="20"/>
        </w:rPr>
      </w:pPr>
      <w:r w:rsidRPr="006F0148">
        <w:rPr>
          <w:sz w:val="20"/>
          <w:szCs w:val="20"/>
        </w:rPr>
        <w:t>The JERAA will also support the JoMeC Network in its formation of Reference Groups for Journalism, Public Relations and Communication Studies/Media Studies. The JERAA has also nominated members of the executive and other representatives from the discipline community to form the Journalism Reference Group.</w:t>
      </w:r>
    </w:p>
    <w:p w:rsidR="006F0148" w:rsidRPr="006F0148" w:rsidRDefault="006F0148" w:rsidP="006F0148">
      <w:pPr>
        <w:rPr>
          <w:sz w:val="20"/>
          <w:szCs w:val="20"/>
        </w:rPr>
      </w:pPr>
    </w:p>
    <w:p w:rsidR="006F0148" w:rsidRPr="006F0148" w:rsidRDefault="006F0148" w:rsidP="004D5808">
      <w:pPr>
        <w:rPr>
          <w:sz w:val="20"/>
          <w:szCs w:val="20"/>
        </w:rPr>
      </w:pPr>
      <w:r w:rsidRPr="006F0148">
        <w:rPr>
          <w:sz w:val="20"/>
          <w:szCs w:val="20"/>
        </w:rPr>
        <w:t xml:space="preserve">The JERAA Executive has played an active role in the JoMeC Network’s continuing mission of creating and strengthening bridges between the journalism, media and communication disciplines. In December 2013, a new position was created on the JEAA/JERAA Executive, the Vice-President (Networks), to play a key role in this function. The Vice-President (Networks) will take a leadership role in promoting cross-disciplinary liaisons. </w:t>
      </w:r>
      <w:r w:rsidR="00E4741D">
        <w:rPr>
          <w:sz w:val="20"/>
          <w:szCs w:val="20"/>
        </w:rPr>
        <w:t>7</w:t>
      </w:r>
      <w:r w:rsidRPr="006F0148">
        <w:rPr>
          <w:sz w:val="20"/>
          <w:szCs w:val="20"/>
        </w:rPr>
        <w:t>For example, the three Reference Groups discussed above will function autonomously, but the Vice-President (Networks) will assist them in their continuing activities and will encourage collaboration and collegiality via the sharing of connections, ideas and outcomes.</w:t>
      </w:r>
    </w:p>
    <w:p w:rsidR="006F0148" w:rsidRPr="006F0148" w:rsidRDefault="006F0148" w:rsidP="006F0148">
      <w:pPr>
        <w:rPr>
          <w:sz w:val="20"/>
          <w:szCs w:val="20"/>
        </w:rPr>
      </w:pPr>
    </w:p>
    <w:p w:rsidR="006F0148" w:rsidRDefault="006F0148" w:rsidP="006F0148">
      <w:pPr>
        <w:rPr>
          <w:sz w:val="20"/>
          <w:szCs w:val="20"/>
        </w:rPr>
      </w:pPr>
      <w:r w:rsidRPr="006F0148">
        <w:rPr>
          <w:sz w:val="20"/>
          <w:szCs w:val="20"/>
        </w:rPr>
        <w:t>We are pleased with the success achieved by the JoMeC Network in developing TLO statements and creating a web portal of information and resources about TLOs for discipline stakeholders. We commend the Network’s continuing work in building networks between the journalism, media and communications, which will yield ongoing benefits for these discipline communities.</w:t>
      </w:r>
    </w:p>
    <w:p w:rsidR="00851E99" w:rsidRPr="006F0148" w:rsidRDefault="00851E99" w:rsidP="006F0148">
      <w:pPr>
        <w:rPr>
          <w:sz w:val="20"/>
          <w:szCs w:val="20"/>
        </w:rPr>
      </w:pPr>
    </w:p>
    <w:p w:rsidR="006F0148" w:rsidRPr="006F0148" w:rsidRDefault="006F0148" w:rsidP="006F0148">
      <w:pPr>
        <w:rPr>
          <w:sz w:val="20"/>
          <w:szCs w:val="20"/>
        </w:rPr>
      </w:pPr>
      <w:r w:rsidRPr="006F0148">
        <w:rPr>
          <w:sz w:val="20"/>
          <w:szCs w:val="20"/>
        </w:rPr>
        <w:t>Yours sincerely</w:t>
      </w:r>
    </w:p>
    <w:p w:rsidR="006F0148" w:rsidRPr="006F0148" w:rsidRDefault="00540279" w:rsidP="006F0148">
      <w:pPr>
        <w:rPr>
          <w:sz w:val="20"/>
          <w:szCs w:val="20"/>
        </w:rPr>
      </w:pPr>
      <w:r>
        <w:rPr>
          <w:noProof/>
          <w:sz w:val="20"/>
          <w:szCs w:val="20"/>
          <w:lang w:eastAsia="en-AU"/>
        </w:rPr>
        <w:drawing>
          <wp:inline distT="0" distB="0" distL="0" distR="0" wp14:anchorId="2AC51007" wp14:editId="6504B0D6">
            <wp:extent cx="1555750" cy="285750"/>
            <wp:effectExtent l="19050" t="0" r="6350" b="0"/>
            <wp:docPr id="3" name="Picture 3" descr="Matthew'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thew's signature"/>
                    <pic:cNvPicPr>
                      <a:picLocks noChangeAspect="1" noChangeArrowheads="1"/>
                    </pic:cNvPicPr>
                  </pic:nvPicPr>
                  <pic:blipFill>
                    <a:blip r:embed="rId24"/>
                    <a:srcRect/>
                    <a:stretch>
                      <a:fillRect/>
                    </a:stretch>
                  </pic:blipFill>
                  <pic:spPr bwMode="auto">
                    <a:xfrm>
                      <a:off x="0" y="0"/>
                      <a:ext cx="1555750" cy="285750"/>
                    </a:xfrm>
                    <a:prstGeom prst="rect">
                      <a:avLst/>
                    </a:prstGeom>
                    <a:noFill/>
                    <a:ln w="9525">
                      <a:noFill/>
                      <a:miter lim="800000"/>
                      <a:headEnd/>
                      <a:tailEnd/>
                    </a:ln>
                  </pic:spPr>
                </pic:pic>
              </a:graphicData>
            </a:graphic>
          </wp:inline>
        </w:drawing>
      </w:r>
    </w:p>
    <w:p w:rsidR="0044056C" w:rsidRDefault="006F0148" w:rsidP="0044056C">
      <w:pPr>
        <w:rPr>
          <w:sz w:val="20"/>
          <w:szCs w:val="20"/>
        </w:rPr>
      </w:pPr>
      <w:r w:rsidRPr="006F0148">
        <w:rPr>
          <w:sz w:val="20"/>
          <w:szCs w:val="20"/>
        </w:rPr>
        <w:t>Prof Matthew Ricketson</w:t>
      </w:r>
    </w:p>
    <w:p w:rsidR="00D26F44" w:rsidRDefault="008E5E40" w:rsidP="00F14F3B">
      <w:pPr>
        <w:pStyle w:val="Heading1"/>
        <w:spacing w:line="240" w:lineRule="auto"/>
      </w:pPr>
      <w:bookmarkStart w:id="53" w:name="_Toc422213344"/>
      <w:bookmarkStart w:id="54" w:name="_Toc422213401"/>
      <w:bookmarkEnd w:id="27"/>
      <w:bookmarkEnd w:id="28"/>
      <w:bookmarkEnd w:id="29"/>
      <w:bookmarkEnd w:id="30"/>
      <w:bookmarkEnd w:id="31"/>
      <w:bookmarkEnd w:id="32"/>
      <w:bookmarkEnd w:id="33"/>
      <w:bookmarkEnd w:id="34"/>
      <w:bookmarkEnd w:id="35"/>
      <w:bookmarkEnd w:id="36"/>
      <w:bookmarkEnd w:id="37"/>
      <w:bookmarkEnd w:id="38"/>
      <w:r>
        <w:lastRenderedPageBreak/>
        <w:t xml:space="preserve">Appendix </w:t>
      </w:r>
      <w:r w:rsidR="00C01F87">
        <w:t>4</w:t>
      </w:r>
      <w:r w:rsidR="00E654E1" w:rsidRPr="0044056C">
        <w:t xml:space="preserve">: </w:t>
      </w:r>
      <w:r w:rsidR="00E654E1">
        <w:t>Presentations and Planned Publications</w:t>
      </w:r>
      <w:bookmarkEnd w:id="53"/>
      <w:bookmarkEnd w:id="54"/>
    </w:p>
    <w:p w:rsidR="00D26F44" w:rsidRDefault="00D26F44" w:rsidP="00DA0809"/>
    <w:p w:rsidR="00C44258" w:rsidRPr="00FD19AA" w:rsidRDefault="00C44258" w:rsidP="00DB6D02">
      <w:pPr>
        <w:spacing w:before="210" w:after="90" w:line="280" w:lineRule="atLeast"/>
        <w:outlineLvl w:val="1"/>
        <w:rPr>
          <w:sz w:val="32"/>
          <w:szCs w:val="32"/>
        </w:rPr>
      </w:pPr>
      <w:bookmarkStart w:id="55" w:name="_Toc422213345"/>
      <w:bookmarkStart w:id="56" w:name="_Toc422213402"/>
      <w:r>
        <w:rPr>
          <w:sz w:val="32"/>
          <w:szCs w:val="32"/>
        </w:rPr>
        <w:t>Conference Presentations</w:t>
      </w:r>
      <w:bookmarkEnd w:id="55"/>
      <w:bookmarkEnd w:id="56"/>
    </w:p>
    <w:p w:rsidR="002B68AF" w:rsidRDefault="00A66885" w:rsidP="008458D6">
      <w:r w:rsidRPr="00253451">
        <w:t>Breit, R. (2013</w:t>
      </w:r>
      <w:r w:rsidR="002B68AF">
        <w:t>, December 2</w:t>
      </w:r>
      <w:r w:rsidR="00D323DF">
        <w:t>–</w:t>
      </w:r>
      <w:r w:rsidR="002B68AF">
        <w:t>4</w:t>
      </w:r>
      <w:r w:rsidRPr="00253451">
        <w:t>)</w:t>
      </w:r>
      <w:r w:rsidR="002B68AF">
        <w:t>.</w:t>
      </w:r>
      <w:r w:rsidRPr="00253451">
        <w:t xml:space="preserve"> </w:t>
      </w:r>
      <w:r w:rsidR="00D323DF">
        <w:rPr>
          <w:i/>
        </w:rPr>
        <w:t>Threshold L</w:t>
      </w:r>
      <w:r w:rsidRPr="002B68AF">
        <w:rPr>
          <w:i/>
        </w:rPr>
        <w:t>earning Outcomes: Journalism, Public Relations, Communication and Media Studies</w:t>
      </w:r>
      <w:r w:rsidRPr="00253451">
        <w:t xml:space="preserve">. </w:t>
      </w:r>
      <w:r w:rsidR="006E0854">
        <w:t>Plenary panel presentation</w:t>
      </w:r>
      <w:r w:rsidR="002B68AF">
        <w:t xml:space="preserve"> at </w:t>
      </w:r>
      <w:r w:rsidR="00E05705">
        <w:t xml:space="preserve">the </w:t>
      </w:r>
      <w:r w:rsidRPr="00253451">
        <w:t>Journalism Education Association of Australia (JEA</w:t>
      </w:r>
      <w:r w:rsidR="002B68AF">
        <w:t>A) Conference, Mooloolaba</w:t>
      </w:r>
      <w:r w:rsidRPr="00253451">
        <w:t xml:space="preserve">. </w:t>
      </w:r>
      <w:r w:rsidR="002B68AF">
        <w:t>Available at</w:t>
      </w:r>
      <w:r w:rsidR="00B1605E">
        <w:t xml:space="preserve"> &lt;</w:t>
      </w:r>
      <w:r w:rsidR="00FF24A8" w:rsidRPr="00FF24A8">
        <w:t>www.jeaa.org.au/file/file/Breit%20JEAA%20Conf%202013.pdf</w:t>
      </w:r>
      <w:r w:rsidR="00FF24A8">
        <w:t xml:space="preserve"> </w:t>
      </w:r>
      <w:r w:rsidR="00B1605E">
        <w:t>&gt;.</w:t>
      </w:r>
    </w:p>
    <w:p w:rsidR="00B1605E" w:rsidRDefault="00B1605E" w:rsidP="008458D6"/>
    <w:p w:rsidR="00B1605E" w:rsidRDefault="002B68AF" w:rsidP="00B1605E">
      <w:r>
        <w:t>Breit, R. (2012</w:t>
      </w:r>
      <w:r w:rsidR="00E05705">
        <w:t>, December 2</w:t>
      </w:r>
      <w:r w:rsidR="00D323DF">
        <w:t>–</w:t>
      </w:r>
      <w:r w:rsidR="00E05705">
        <w:t>5</w:t>
      </w:r>
      <w:r>
        <w:t xml:space="preserve">). </w:t>
      </w:r>
      <w:r>
        <w:rPr>
          <w:i/>
        </w:rPr>
        <w:t>Discipline standards, journalism futures and partnerships</w:t>
      </w:r>
      <w:r w:rsidR="00E05705">
        <w:t>. P</w:t>
      </w:r>
      <w:r w:rsidR="006E0854">
        <w:t>lenary p</w:t>
      </w:r>
      <w:r w:rsidR="00E05705">
        <w:t>a</w:t>
      </w:r>
      <w:r w:rsidR="006E0854">
        <w:t>nel presentation</w:t>
      </w:r>
      <w:r w:rsidR="00E05705">
        <w:t xml:space="preserve"> at the </w:t>
      </w:r>
      <w:r w:rsidR="00E05705" w:rsidRPr="00253451">
        <w:t>Journalism Education Association of Australia (JEA</w:t>
      </w:r>
      <w:r w:rsidR="00E05705">
        <w:t xml:space="preserve">A) Conference, Melbourne. </w:t>
      </w:r>
    </w:p>
    <w:p w:rsidR="00F80E02" w:rsidRDefault="00F80E02" w:rsidP="00B1605E"/>
    <w:p w:rsidR="00F80E02" w:rsidRDefault="00F80E02" w:rsidP="00B1605E">
      <w:r>
        <w:t xml:space="preserve">Cullen, T. </w:t>
      </w:r>
      <w:r w:rsidR="000005D1">
        <w:t xml:space="preserve">(2013, July 2–5). </w:t>
      </w:r>
      <w:r w:rsidR="00294EB5" w:rsidRPr="00294EB5">
        <w:rPr>
          <w:i/>
        </w:rPr>
        <w:t>Can gradu</w:t>
      </w:r>
      <w:r w:rsidR="00294EB5">
        <w:rPr>
          <w:i/>
        </w:rPr>
        <w:t>ates secure jobs in the media? V</w:t>
      </w:r>
      <w:r w:rsidR="00294EB5" w:rsidRPr="00294EB5">
        <w:rPr>
          <w:i/>
        </w:rPr>
        <w:t>iews from news editors in Australia</w:t>
      </w:r>
      <w:r w:rsidR="000005D1">
        <w:t>.</w:t>
      </w:r>
      <w:r w:rsidR="000005D1" w:rsidRPr="006E0854">
        <w:t xml:space="preserve"> </w:t>
      </w:r>
      <w:r w:rsidR="000005D1">
        <w:t>Plenary panel presentation at the</w:t>
      </w:r>
      <w:r w:rsidR="000005D1" w:rsidRPr="006E0854">
        <w:t xml:space="preserve"> Australian and New Zealand Communication Association Conference, </w:t>
      </w:r>
      <w:r w:rsidR="000005D1">
        <w:t>Freemantle</w:t>
      </w:r>
      <w:r w:rsidR="000005D1" w:rsidRPr="006E0854">
        <w:t>.</w:t>
      </w:r>
      <w:r w:rsidR="0073652F">
        <w:t xml:space="preserve"> Available at </w:t>
      </w:r>
      <w:r w:rsidR="0006706B">
        <w:t>&lt;</w:t>
      </w:r>
      <w:r w:rsidR="005F34BC" w:rsidRPr="005F34BC">
        <w:t>www.jeaa.org.au/file/file/ANZCA-panel-Cullen-2013.pdf</w:t>
      </w:r>
      <w:r w:rsidR="0006706B">
        <w:t>&gt;.</w:t>
      </w:r>
    </w:p>
    <w:p w:rsidR="00D323DF" w:rsidRDefault="00D323DF" w:rsidP="00B1605E"/>
    <w:p w:rsidR="00D323DF" w:rsidRDefault="00D323DF" w:rsidP="00B1605E">
      <w:r>
        <w:t xml:space="preserve">Hancock, P. (2013, July 2–5). </w:t>
      </w:r>
      <w:r>
        <w:rPr>
          <w:i/>
        </w:rPr>
        <w:t>Accounting learning outcomes</w:t>
      </w:r>
      <w:r>
        <w:t>.</w:t>
      </w:r>
      <w:r w:rsidRPr="006E0854">
        <w:t xml:space="preserve"> </w:t>
      </w:r>
      <w:r>
        <w:t>Plenary panel presentation at the</w:t>
      </w:r>
      <w:r w:rsidRPr="006E0854">
        <w:t xml:space="preserve"> Australian and New Zealand Communication Association Conference, </w:t>
      </w:r>
      <w:r>
        <w:t>Freemantle</w:t>
      </w:r>
      <w:r w:rsidRPr="006E0854">
        <w:t>.</w:t>
      </w:r>
      <w:r w:rsidR="0073652F">
        <w:t xml:space="preserve"> Available at </w:t>
      </w:r>
      <w:r w:rsidR="00FF24A8">
        <w:t>&lt;</w:t>
      </w:r>
      <w:r w:rsidR="0073652F" w:rsidRPr="0073652F">
        <w:t>www.jeaa.org.au/file/file/ANZCA%20July%205%202013.pdf</w:t>
      </w:r>
      <w:r w:rsidR="00FF24A8">
        <w:t>&gt;</w:t>
      </w:r>
    </w:p>
    <w:p w:rsidR="00E05705" w:rsidRDefault="00E05705" w:rsidP="002B68AF"/>
    <w:p w:rsidR="002B68AF" w:rsidRPr="00D323DF" w:rsidRDefault="00E05705" w:rsidP="002B68AF">
      <w:pPr>
        <w:rPr>
          <w:szCs w:val="24"/>
        </w:rPr>
      </w:pPr>
      <w:r>
        <w:rPr>
          <w:szCs w:val="24"/>
        </w:rPr>
        <w:t>Holmes, J. (2012, December 2</w:t>
      </w:r>
      <w:r w:rsidR="00D323DF">
        <w:rPr>
          <w:szCs w:val="24"/>
        </w:rPr>
        <w:t>–</w:t>
      </w:r>
      <w:r>
        <w:rPr>
          <w:szCs w:val="24"/>
        </w:rPr>
        <w:t>5).</w:t>
      </w:r>
      <w:r w:rsidR="002B68AF" w:rsidRPr="00253451">
        <w:rPr>
          <w:szCs w:val="24"/>
        </w:rPr>
        <w:t xml:space="preserve"> </w:t>
      </w:r>
      <w:r w:rsidR="00D323DF">
        <w:rPr>
          <w:rFonts w:eastAsia="Times New Roman" w:cs="Helvetica"/>
          <w:bCs/>
          <w:i/>
          <w:color w:val="auto"/>
          <w:szCs w:val="24"/>
          <w:lang w:val="en-US"/>
        </w:rPr>
        <w:t>Critical times? Higher e</w:t>
      </w:r>
      <w:r w:rsidR="002B68AF" w:rsidRPr="00E05705">
        <w:rPr>
          <w:rFonts w:eastAsia="Times New Roman" w:cs="Helvetica"/>
          <w:bCs/>
          <w:i/>
          <w:color w:val="auto"/>
          <w:szCs w:val="24"/>
          <w:lang w:val="en-US"/>
        </w:rPr>
        <w:t>ducation in the era of TEQSA</w:t>
      </w:r>
      <w:r w:rsidR="002B68AF" w:rsidRPr="00253451">
        <w:rPr>
          <w:rFonts w:eastAsia="Times New Roman" w:cs="Helvetica"/>
          <w:bCs/>
          <w:color w:val="auto"/>
          <w:szCs w:val="24"/>
          <w:lang w:val="en-US"/>
        </w:rPr>
        <w:t>.</w:t>
      </w:r>
      <w:r w:rsidR="002B68AF">
        <w:rPr>
          <w:rFonts w:eastAsia="Times New Roman" w:cs="Helvetica"/>
          <w:bCs/>
          <w:color w:val="auto"/>
          <w:szCs w:val="24"/>
          <w:lang w:val="en-US"/>
        </w:rPr>
        <w:t xml:space="preserve"> </w:t>
      </w:r>
      <w:r w:rsidR="006E0854">
        <w:rPr>
          <w:rFonts w:eastAsia="Times New Roman" w:cs="Helvetica"/>
          <w:bCs/>
          <w:color w:val="auto"/>
          <w:szCs w:val="24"/>
          <w:lang w:val="en-US"/>
        </w:rPr>
        <w:t xml:space="preserve">Keynote </w:t>
      </w:r>
      <w:r w:rsidR="006E0854">
        <w:t>presentation</w:t>
      </w:r>
      <w:r>
        <w:t xml:space="preserve"> at the </w:t>
      </w:r>
      <w:r w:rsidRPr="00253451">
        <w:t>Journalism Education Association of Australia (JEA</w:t>
      </w:r>
      <w:r>
        <w:t xml:space="preserve">A) Conference, Melbourne. </w:t>
      </w:r>
    </w:p>
    <w:p w:rsidR="008458D6" w:rsidRPr="00253451" w:rsidRDefault="008458D6" w:rsidP="008458D6"/>
    <w:p w:rsidR="00B1605E" w:rsidRDefault="00A66885" w:rsidP="00B1605E">
      <w:r w:rsidRPr="00253451">
        <w:t>Hughes, C. (2013</w:t>
      </w:r>
      <w:r w:rsidR="00E05705">
        <w:t>, 2</w:t>
      </w:r>
      <w:r w:rsidR="00D323DF">
        <w:t>–</w:t>
      </w:r>
      <w:r w:rsidR="00E05705">
        <w:t>4 December</w:t>
      </w:r>
      <w:r w:rsidRPr="00253451">
        <w:t xml:space="preserve">) </w:t>
      </w:r>
      <w:r w:rsidRPr="00E05705">
        <w:rPr>
          <w:i/>
        </w:rPr>
        <w:t>Threshold Learning Outcomes</w:t>
      </w:r>
      <w:r w:rsidR="00E05705">
        <w:rPr>
          <w:i/>
        </w:rPr>
        <w:t xml:space="preserve"> (TLOs): Issues for Australian university-level p</w:t>
      </w:r>
      <w:r w:rsidRPr="00E05705">
        <w:rPr>
          <w:i/>
        </w:rPr>
        <w:t>rograms in Journalism, Media and Communication</w:t>
      </w:r>
      <w:r w:rsidRPr="00253451">
        <w:t xml:space="preserve">. </w:t>
      </w:r>
      <w:r w:rsidR="00E05705">
        <w:t>P</w:t>
      </w:r>
      <w:r w:rsidR="006E0854">
        <w:t>lenary panel presentation</w:t>
      </w:r>
      <w:r w:rsidR="00E05705">
        <w:t xml:space="preserve"> at the </w:t>
      </w:r>
      <w:r w:rsidR="00E05705" w:rsidRPr="00253451">
        <w:t>Journalism Education Association of Australia (JEA</w:t>
      </w:r>
      <w:r w:rsidR="00E05705">
        <w:t>A) Conference, Mooloolaba</w:t>
      </w:r>
      <w:r w:rsidR="00E05705" w:rsidRPr="00253451">
        <w:t xml:space="preserve">. </w:t>
      </w:r>
      <w:r w:rsidR="00B1605E">
        <w:t>Available at &lt;</w:t>
      </w:r>
      <w:r w:rsidR="00413989" w:rsidRPr="00413989">
        <w:t>www.jeaa.org.au/file/file/Hughes%20JEAA%20Conf%20Dec2013.pdf</w:t>
      </w:r>
      <w:r w:rsidR="00B1605E">
        <w:t>&gt;.</w:t>
      </w:r>
    </w:p>
    <w:p w:rsidR="002B68AF" w:rsidRPr="00EC4E8B" w:rsidRDefault="002B68AF" w:rsidP="002B68AF">
      <w:pPr>
        <w:rPr>
          <w:rFonts w:eastAsia="Times New Roman" w:cs="Helvetica"/>
          <w:bCs/>
          <w:color w:val="auto"/>
          <w:szCs w:val="24"/>
        </w:rPr>
      </w:pPr>
    </w:p>
    <w:p w:rsidR="002B68AF" w:rsidRPr="00D323DF" w:rsidRDefault="002B68AF" w:rsidP="002B68AF">
      <w:pPr>
        <w:rPr>
          <w:rFonts w:eastAsia="Times New Roman" w:cs="Helvetica"/>
          <w:bCs/>
          <w:color w:val="auto"/>
          <w:szCs w:val="24"/>
          <w:lang w:val="en-US"/>
        </w:rPr>
      </w:pPr>
      <w:r>
        <w:rPr>
          <w:rFonts w:eastAsia="Times New Roman" w:cs="Helvetica"/>
          <w:bCs/>
          <w:color w:val="auto"/>
          <w:szCs w:val="24"/>
          <w:lang w:val="en-US"/>
        </w:rPr>
        <w:t>Hughes, C. (2012</w:t>
      </w:r>
      <w:r w:rsidR="00E05705">
        <w:rPr>
          <w:rFonts w:eastAsia="Times New Roman" w:cs="Helvetica"/>
          <w:bCs/>
          <w:color w:val="auto"/>
          <w:szCs w:val="24"/>
          <w:lang w:val="en-US"/>
        </w:rPr>
        <w:t>, December 2</w:t>
      </w:r>
      <w:r w:rsidR="00D323DF">
        <w:rPr>
          <w:rFonts w:eastAsia="Times New Roman" w:cs="Helvetica"/>
          <w:bCs/>
          <w:color w:val="auto"/>
          <w:szCs w:val="24"/>
          <w:lang w:val="en-US"/>
        </w:rPr>
        <w:t>–</w:t>
      </w:r>
      <w:r w:rsidR="00E05705">
        <w:rPr>
          <w:rFonts w:eastAsia="Times New Roman" w:cs="Helvetica"/>
          <w:bCs/>
          <w:color w:val="auto"/>
          <w:szCs w:val="24"/>
          <w:lang w:val="en-US"/>
        </w:rPr>
        <w:t>5</w:t>
      </w:r>
      <w:r>
        <w:rPr>
          <w:rFonts w:eastAsia="Times New Roman" w:cs="Helvetica"/>
          <w:bCs/>
          <w:color w:val="auto"/>
          <w:szCs w:val="24"/>
          <w:lang w:val="en-US"/>
        </w:rPr>
        <w:t xml:space="preserve">). </w:t>
      </w:r>
      <w:r w:rsidR="00F80E02" w:rsidRPr="00F80E02">
        <w:rPr>
          <w:rFonts w:eastAsia="Times New Roman" w:cs="Helvetica"/>
          <w:bCs/>
          <w:i/>
          <w:color w:val="auto"/>
          <w:szCs w:val="24"/>
          <w:lang w:val="en-US"/>
        </w:rPr>
        <w:t xml:space="preserve">Assessment of graduate learning outcomes. </w:t>
      </w:r>
      <w:r w:rsidR="00E05705">
        <w:t>P</w:t>
      </w:r>
      <w:r w:rsidR="006E0854">
        <w:t>lenary panel presentation</w:t>
      </w:r>
      <w:r w:rsidR="00E05705">
        <w:t xml:space="preserve"> at the </w:t>
      </w:r>
      <w:r w:rsidR="00E05705" w:rsidRPr="00253451">
        <w:t>Journalism Education Association of Australia (JEA</w:t>
      </w:r>
      <w:r w:rsidR="00E05705">
        <w:t xml:space="preserve">A) Conference, Melbourne. </w:t>
      </w:r>
    </w:p>
    <w:p w:rsidR="00B1605E" w:rsidRPr="00253451" w:rsidRDefault="00B1605E" w:rsidP="002B68AF"/>
    <w:p w:rsidR="004C3134" w:rsidRDefault="004C3134" w:rsidP="00253451">
      <w:r w:rsidRPr="004C3134">
        <w:t>McCallum, K. (2013, December 2</w:t>
      </w:r>
      <w:r w:rsidR="00D323DF">
        <w:t>–</w:t>
      </w:r>
      <w:r w:rsidRPr="004C3134">
        <w:t xml:space="preserve">4). </w:t>
      </w:r>
      <w:r w:rsidRPr="004C3134">
        <w:rPr>
          <w:i/>
        </w:rPr>
        <w:t>Communication and Media Studies</w:t>
      </w:r>
      <w:r w:rsidRPr="004C3134">
        <w:t xml:space="preserve">  </w:t>
      </w:r>
      <w:r w:rsidR="006E0854">
        <w:t>Plenary panel presentation at</w:t>
      </w:r>
      <w:r>
        <w:t xml:space="preserve"> the </w:t>
      </w:r>
      <w:r w:rsidRPr="004C3134">
        <w:t>Journalism Education Association of Australia (JEAA) Conference, Mooloolaba.</w:t>
      </w:r>
    </w:p>
    <w:p w:rsidR="006E0854" w:rsidRDefault="006E0854" w:rsidP="00253451"/>
    <w:p w:rsidR="006E0854" w:rsidRDefault="006E0854" w:rsidP="00253451">
      <w:r>
        <w:t>McCallum, K. (2013, July 2</w:t>
      </w:r>
      <w:r w:rsidR="00D323DF">
        <w:t>–</w:t>
      </w:r>
      <w:r>
        <w:t xml:space="preserve">5). </w:t>
      </w:r>
      <w:r w:rsidRPr="006E0854">
        <w:rPr>
          <w:i/>
        </w:rPr>
        <w:t>Threshold learning outcomes for communication and media studies qualifications</w:t>
      </w:r>
      <w:r>
        <w:t>.</w:t>
      </w:r>
      <w:r w:rsidRPr="006E0854">
        <w:t xml:space="preserve"> </w:t>
      </w:r>
      <w:r>
        <w:t>Plenary panel presentation at the</w:t>
      </w:r>
      <w:r w:rsidRPr="006E0854">
        <w:t xml:space="preserve"> Australian and New Zealand Communication Association Conference, </w:t>
      </w:r>
      <w:r>
        <w:t>Freemantle</w:t>
      </w:r>
      <w:r w:rsidRPr="006E0854">
        <w:t>.</w:t>
      </w:r>
    </w:p>
    <w:p w:rsidR="006E0854" w:rsidRDefault="006E0854" w:rsidP="00253451"/>
    <w:p w:rsidR="00253451" w:rsidRPr="00253451" w:rsidRDefault="00E05705" w:rsidP="00253451">
      <w:r>
        <w:t>Romano, A. (2</w:t>
      </w:r>
      <w:r w:rsidR="00253451" w:rsidRPr="00253451">
        <w:t>0</w:t>
      </w:r>
      <w:r>
        <w:t>1</w:t>
      </w:r>
      <w:r w:rsidR="00253451" w:rsidRPr="00253451">
        <w:t>4</w:t>
      </w:r>
      <w:r>
        <w:t>, November 24</w:t>
      </w:r>
      <w:r w:rsidR="00D323DF">
        <w:t>–</w:t>
      </w:r>
      <w:r>
        <w:t>27</w:t>
      </w:r>
      <w:r w:rsidR="00253451" w:rsidRPr="00253451">
        <w:t>)</w:t>
      </w:r>
      <w:r w:rsidR="009F396A">
        <w:t>.</w:t>
      </w:r>
      <w:r w:rsidR="00253451" w:rsidRPr="00253451">
        <w:t xml:space="preserve"> </w:t>
      </w:r>
      <w:r w:rsidR="00253451" w:rsidRPr="00E05705">
        <w:rPr>
          <w:i/>
        </w:rPr>
        <w:t xml:space="preserve">National standards for Journalism, Media and </w:t>
      </w:r>
      <w:r w:rsidR="00253451" w:rsidRPr="00E05705">
        <w:rPr>
          <w:i/>
        </w:rPr>
        <w:lastRenderedPageBreak/>
        <w:t>Communication Degrees: Challenges of Developing Universal Threshold Learning Outcome Under the Australian Qualifications Framework</w:t>
      </w:r>
      <w:r w:rsidR="00253451" w:rsidRPr="00253451">
        <w:t xml:space="preserve">. </w:t>
      </w:r>
      <w:r>
        <w:t xml:space="preserve">Paper </w:t>
      </w:r>
      <w:r w:rsidR="00253451" w:rsidRPr="00253451">
        <w:t xml:space="preserve">presented at the Journalism Education and Research Association of Australia Conference, UTS, Sydney. </w:t>
      </w:r>
    </w:p>
    <w:p w:rsidR="00253451" w:rsidRPr="00253451" w:rsidRDefault="00253451" w:rsidP="00253451"/>
    <w:p w:rsidR="00253451" w:rsidRPr="00253451" w:rsidRDefault="00253451" w:rsidP="00EC4E8B">
      <w:r w:rsidRPr="00253451">
        <w:t>Romano, A. (2014</w:t>
      </w:r>
      <w:r w:rsidR="00B4376F">
        <w:t>, July 9</w:t>
      </w:r>
      <w:r w:rsidR="00D323DF">
        <w:t>–</w:t>
      </w:r>
      <w:r w:rsidR="00B4376F">
        <w:t>11</w:t>
      </w:r>
      <w:r w:rsidRPr="00253451">
        <w:t>)</w:t>
      </w:r>
      <w:r w:rsidR="009F396A">
        <w:t>.</w:t>
      </w:r>
      <w:r w:rsidRPr="00253451">
        <w:t xml:space="preserve"> </w:t>
      </w:r>
      <w:r w:rsidRPr="009F396A">
        <w:rPr>
          <w:i/>
        </w:rPr>
        <w:t xml:space="preserve">Standards that we </w:t>
      </w:r>
      <w:r w:rsidR="006669D4">
        <w:rPr>
          <w:i/>
        </w:rPr>
        <w:t xml:space="preserve">can </w:t>
      </w:r>
      <w:r w:rsidRPr="009F396A">
        <w:rPr>
          <w:i/>
        </w:rPr>
        <w:t xml:space="preserve">‘own’: Threshold Learning Outcomes: Journalism, Public Relations, </w:t>
      </w:r>
      <w:r w:rsidR="009F396A">
        <w:rPr>
          <w:i/>
        </w:rPr>
        <w:t xml:space="preserve">and </w:t>
      </w:r>
      <w:r w:rsidRPr="009F396A">
        <w:rPr>
          <w:i/>
        </w:rPr>
        <w:t>Communication and Media Studies</w:t>
      </w:r>
      <w:r w:rsidRPr="00253451">
        <w:t xml:space="preserve">. </w:t>
      </w:r>
      <w:r w:rsidR="006E0854">
        <w:t xml:space="preserve">Paper presented at the </w:t>
      </w:r>
      <w:r w:rsidRPr="00253451">
        <w:t>Australian and New Zealand Communication Association Conference, Swinburne University of Technology, Melbourne. Available at &lt;</w:t>
      </w:r>
      <w:r w:rsidR="00EC4E8B" w:rsidRPr="00EC4E8B">
        <w:t xml:space="preserve">eprints.qut.edu.au/74192/2/74192.pdf </w:t>
      </w:r>
      <w:r w:rsidRPr="00253451">
        <w:t xml:space="preserve">&gt; </w:t>
      </w:r>
    </w:p>
    <w:p w:rsidR="00253451" w:rsidRDefault="00253451" w:rsidP="008458D6"/>
    <w:p w:rsidR="00281EFF" w:rsidRDefault="00281EFF" w:rsidP="00281EFF">
      <w:r>
        <w:t>Tanner, S., O'Donnell, M., Green, K. &amp; Cullen, T. (2012</w:t>
      </w:r>
      <w:r w:rsidR="00974BEF">
        <w:t>, December 2</w:t>
      </w:r>
      <w:r w:rsidR="00D323DF">
        <w:t>–</w:t>
      </w:r>
      <w:r w:rsidR="00974BEF">
        <w:t>5</w:t>
      </w:r>
      <w:r>
        <w:t xml:space="preserve">). </w:t>
      </w:r>
      <w:r w:rsidRPr="00281EFF">
        <w:rPr>
          <w:i/>
        </w:rPr>
        <w:t>Australian journalism programs: are they listening to the needs of industry?</w:t>
      </w:r>
      <w:r>
        <w:rPr>
          <w:i/>
        </w:rPr>
        <w:t xml:space="preserve"> </w:t>
      </w:r>
      <w:r>
        <w:t xml:space="preserve">Paper presented at the </w:t>
      </w:r>
      <w:r w:rsidRPr="00253451">
        <w:t>Journalism Education Association of Australia (JEA</w:t>
      </w:r>
      <w:r>
        <w:t>A) Conference, Melbourne.</w:t>
      </w:r>
    </w:p>
    <w:p w:rsidR="00DA11BC" w:rsidRDefault="00DA11BC" w:rsidP="00281EFF"/>
    <w:p w:rsidR="00DA11BC" w:rsidRPr="00281EFF" w:rsidRDefault="00DA11BC" w:rsidP="00281EFF">
      <w:r>
        <w:t xml:space="preserve">Wolf, K. (2013, July 2–5). </w:t>
      </w:r>
      <w:r>
        <w:rPr>
          <w:i/>
        </w:rPr>
        <w:t>L</w:t>
      </w:r>
      <w:r w:rsidRPr="006E0854">
        <w:rPr>
          <w:i/>
        </w:rPr>
        <w:t xml:space="preserve">earning outcomes for </w:t>
      </w:r>
      <w:r>
        <w:rPr>
          <w:i/>
        </w:rPr>
        <w:t>Public Relations</w:t>
      </w:r>
      <w:r>
        <w:t>.</w:t>
      </w:r>
      <w:r w:rsidRPr="006E0854">
        <w:t xml:space="preserve"> </w:t>
      </w:r>
      <w:r>
        <w:t>Plenary panel presentation at the</w:t>
      </w:r>
      <w:r w:rsidRPr="006E0854">
        <w:t xml:space="preserve"> Australian and New Zealand Communication Association Conference, </w:t>
      </w:r>
      <w:r>
        <w:t>Freemantle</w:t>
      </w:r>
      <w:r w:rsidRPr="006E0854">
        <w:t>.</w:t>
      </w:r>
    </w:p>
    <w:p w:rsidR="008458D6" w:rsidRDefault="008458D6" w:rsidP="008458D6"/>
    <w:p w:rsidR="00C44258" w:rsidRPr="00FD19AA" w:rsidRDefault="00C44258" w:rsidP="00DB6D02">
      <w:pPr>
        <w:spacing w:before="210" w:after="90" w:line="280" w:lineRule="atLeast"/>
        <w:outlineLvl w:val="1"/>
        <w:rPr>
          <w:sz w:val="32"/>
          <w:szCs w:val="32"/>
        </w:rPr>
      </w:pPr>
      <w:bookmarkStart w:id="57" w:name="_Toc422213346"/>
      <w:bookmarkStart w:id="58" w:name="_Toc422213403"/>
      <w:r>
        <w:rPr>
          <w:sz w:val="32"/>
          <w:szCs w:val="32"/>
        </w:rPr>
        <w:t>Publications in progress</w:t>
      </w:r>
      <w:bookmarkEnd w:id="57"/>
      <w:bookmarkEnd w:id="58"/>
    </w:p>
    <w:p w:rsidR="00C01F87" w:rsidRDefault="008458D6" w:rsidP="0017038C">
      <w:pPr>
        <w:spacing w:after="120"/>
      </w:pPr>
      <w:r>
        <w:t xml:space="preserve">Several members of the </w:t>
      </w:r>
      <w:r w:rsidR="00A66885">
        <w:t xml:space="preserve">core leadership team associated with this </w:t>
      </w:r>
      <w:r w:rsidR="00650586">
        <w:t xml:space="preserve">JoMeC Network </w:t>
      </w:r>
      <w:r w:rsidR="00A66885">
        <w:t>project</w:t>
      </w:r>
      <w:r>
        <w:t xml:space="preserve"> </w:t>
      </w:r>
      <w:r w:rsidR="0017038C">
        <w:t xml:space="preserve">are collaborating on articles relating to lessons drawn from the JoMeC initiative, methodologies for developing </w:t>
      </w:r>
      <w:r w:rsidR="00060DD1" w:rsidRPr="007025A1">
        <w:t>universal threshold learning outcomes under the Australian Qualifications</w:t>
      </w:r>
      <w:r w:rsidR="0017038C">
        <w:t xml:space="preserve"> Framework, and a re</w:t>
      </w:r>
      <w:r w:rsidR="00060DD1" w:rsidRPr="007025A1">
        <w:t>-assessment of journalism educati</w:t>
      </w:r>
      <w:r w:rsidR="00623C5F">
        <w:t>on’</w:t>
      </w:r>
      <w:r w:rsidR="007025A1">
        <w:t>s relationship with industry.</w:t>
      </w:r>
    </w:p>
    <w:p w:rsidR="00C01F87" w:rsidRDefault="00C01F87" w:rsidP="00C01F87">
      <w:r>
        <w:br w:type="page"/>
      </w:r>
    </w:p>
    <w:p w:rsidR="00C01F87" w:rsidRPr="00851E99" w:rsidRDefault="00C01F87" w:rsidP="00F14F3B">
      <w:pPr>
        <w:pStyle w:val="Heading1"/>
        <w:rPr>
          <w:sz w:val="20"/>
          <w:szCs w:val="20"/>
        </w:rPr>
      </w:pPr>
      <w:bookmarkStart w:id="59" w:name="_Toc422213347"/>
      <w:bookmarkStart w:id="60" w:name="_Toc422213404"/>
      <w:r>
        <w:lastRenderedPageBreak/>
        <w:t>Appendix 5</w:t>
      </w:r>
      <w:r w:rsidRPr="0044056C">
        <w:t>: Abbreviations</w:t>
      </w:r>
      <w:bookmarkEnd w:id="59"/>
      <w:bookmarkEnd w:id="60"/>
    </w:p>
    <w:p w:rsidR="00C01F87" w:rsidRDefault="00C01F87" w:rsidP="00C01F87">
      <w:pPr>
        <w:widowControl/>
        <w:suppressAutoHyphens w:val="0"/>
        <w:rPr>
          <w:b/>
        </w:rPr>
      </w:pPr>
    </w:p>
    <w:p w:rsidR="00C01F87" w:rsidRDefault="00C01F87" w:rsidP="00C01F87">
      <w:pPr>
        <w:widowControl/>
        <w:suppressAutoHyphens w:val="0"/>
      </w:pPr>
      <w:r>
        <w:t>AQF</w:t>
      </w:r>
      <w:r>
        <w:tab/>
      </w:r>
      <w:r>
        <w:tab/>
        <w:t>Australian Qualifications Framework</w:t>
      </w:r>
    </w:p>
    <w:p w:rsidR="00C01F87" w:rsidRDefault="00C01F87" w:rsidP="00C01F87"/>
    <w:p w:rsidR="00C01F87" w:rsidRDefault="00C01F87" w:rsidP="00C01F87">
      <w:r>
        <w:t>ANZCA</w:t>
      </w:r>
      <w:r>
        <w:tab/>
      </w:r>
      <w:r>
        <w:tab/>
        <w:t>Australia</w:t>
      </w:r>
      <w:r w:rsidR="00642881">
        <w:t>n and</w:t>
      </w:r>
      <w:r>
        <w:t xml:space="preserve"> New Zealand Communication Association Inc</w:t>
      </w:r>
    </w:p>
    <w:p w:rsidR="00C01F87" w:rsidRDefault="00C01F87" w:rsidP="00C01F87"/>
    <w:p w:rsidR="00C01F87" w:rsidRDefault="00C01F87" w:rsidP="00C01F87">
      <w:r>
        <w:t>ERA</w:t>
      </w:r>
      <w:r>
        <w:tab/>
      </w:r>
      <w:r>
        <w:tab/>
        <w:t>Excellence in Research for Australia</w:t>
      </w:r>
    </w:p>
    <w:p w:rsidR="00C01F87" w:rsidRDefault="00C01F87" w:rsidP="00C01F87"/>
    <w:p w:rsidR="00C01F87" w:rsidRDefault="00C01F87" w:rsidP="00C01F87">
      <w:r>
        <w:t>ICA</w:t>
      </w:r>
      <w:r>
        <w:tab/>
      </w:r>
      <w:r>
        <w:tab/>
        <w:t>International Communication</w:t>
      </w:r>
      <w:r w:rsidRPr="005264BB">
        <w:t xml:space="preserve"> Association</w:t>
      </w:r>
    </w:p>
    <w:p w:rsidR="00C01F87" w:rsidRDefault="00C01F87" w:rsidP="00C01F87"/>
    <w:p w:rsidR="00C01F87" w:rsidRDefault="00C01F87" w:rsidP="00C01F87">
      <w:r>
        <w:t>IAMCR</w:t>
      </w:r>
      <w:r>
        <w:tab/>
      </w:r>
      <w:r>
        <w:tab/>
      </w:r>
      <w:r w:rsidRPr="005264BB">
        <w:t>International Associat</w:t>
      </w:r>
      <w:r>
        <w:t>ion for Media and Communication</w:t>
      </w:r>
      <w:r w:rsidRPr="005264BB">
        <w:t xml:space="preserve"> Research</w:t>
      </w:r>
    </w:p>
    <w:p w:rsidR="00C01F87" w:rsidRDefault="00C01F87" w:rsidP="00C01F87"/>
    <w:p w:rsidR="00C01F87" w:rsidRDefault="00C01F87" w:rsidP="00C01F87">
      <w:r>
        <w:t>JEAA</w:t>
      </w:r>
      <w:r>
        <w:tab/>
      </w:r>
      <w:r>
        <w:tab/>
        <w:t>Journalism Education Association of Australia Inc</w:t>
      </w:r>
    </w:p>
    <w:p w:rsidR="00C01F87" w:rsidRDefault="00C01F87" w:rsidP="00C01F87"/>
    <w:p w:rsidR="00C01F87" w:rsidRDefault="00C01F87" w:rsidP="00C01F87">
      <w:r>
        <w:t>JERAA</w:t>
      </w:r>
      <w:r>
        <w:tab/>
      </w:r>
      <w:r>
        <w:tab/>
        <w:t>Journalism Education and Research Association of Australia Inc</w:t>
      </w:r>
    </w:p>
    <w:p w:rsidR="00C01F87" w:rsidRDefault="00C01F87" w:rsidP="00C01F87"/>
    <w:p w:rsidR="00C01F87" w:rsidRDefault="00C01F87" w:rsidP="00C01F87">
      <w:r>
        <w:t>JoMeC</w:t>
      </w:r>
      <w:r>
        <w:tab/>
      </w:r>
      <w:r>
        <w:tab/>
        <w:t>Journalism, Media and Communication</w:t>
      </w:r>
    </w:p>
    <w:p w:rsidR="00C01F87" w:rsidRDefault="00C01F87" w:rsidP="00C01F87"/>
    <w:p w:rsidR="00C01F87" w:rsidRDefault="00C01F87" w:rsidP="00C01F87">
      <w:r>
        <w:t>KSA</w:t>
      </w:r>
      <w:r>
        <w:tab/>
      </w:r>
      <w:r>
        <w:tab/>
        <w:t>Knowledge, Skills and Applications of Knowledge and Skills</w:t>
      </w:r>
    </w:p>
    <w:p w:rsidR="00C01F87" w:rsidRDefault="00C01F87" w:rsidP="00C01F87"/>
    <w:p w:rsidR="00C01F87" w:rsidRDefault="00C01F87" w:rsidP="00C01F87">
      <w:r>
        <w:t>OLT</w:t>
      </w:r>
      <w:r>
        <w:tab/>
      </w:r>
      <w:r>
        <w:tab/>
        <w:t>Office for Learning and Teaching</w:t>
      </w:r>
    </w:p>
    <w:p w:rsidR="00C01F87" w:rsidRDefault="00C01F87" w:rsidP="00C01F87"/>
    <w:p w:rsidR="00C01F87" w:rsidRDefault="00C01F87" w:rsidP="00C01F87">
      <w:r>
        <w:t>PRIA</w:t>
      </w:r>
      <w:r>
        <w:tab/>
      </w:r>
      <w:r>
        <w:tab/>
      </w:r>
      <w:r w:rsidRPr="005264BB">
        <w:t>Public Relations Institute of Australia</w:t>
      </w:r>
    </w:p>
    <w:p w:rsidR="00C01F87" w:rsidRDefault="00C01F87" w:rsidP="00C01F87"/>
    <w:p w:rsidR="00C01F87" w:rsidRDefault="00C01F87" w:rsidP="00C01F87">
      <w:r>
        <w:t>QUT</w:t>
      </w:r>
      <w:r>
        <w:tab/>
      </w:r>
      <w:r>
        <w:tab/>
        <w:t>Queensland University of Technology</w:t>
      </w:r>
    </w:p>
    <w:p w:rsidR="00C01F87" w:rsidRDefault="00C01F87" w:rsidP="00C01F87"/>
    <w:p w:rsidR="00C01F87" w:rsidRDefault="00C01F87" w:rsidP="00C01F87">
      <w:r>
        <w:t>TEQSA</w:t>
      </w:r>
      <w:r>
        <w:tab/>
      </w:r>
      <w:r>
        <w:tab/>
      </w:r>
      <w:r w:rsidRPr="004A0054">
        <w:t>Tertiary Education Quality and Standards Agency</w:t>
      </w:r>
    </w:p>
    <w:p w:rsidR="00C01F87" w:rsidRDefault="00C01F87" w:rsidP="00C01F87"/>
    <w:p w:rsidR="00C01F87" w:rsidRDefault="00C01F87" w:rsidP="00C01F87">
      <w:r>
        <w:t>TLO</w:t>
      </w:r>
      <w:r>
        <w:tab/>
      </w:r>
      <w:r>
        <w:tab/>
        <w:t>Threshold Learning Outcome</w:t>
      </w:r>
    </w:p>
    <w:p w:rsidR="00D26F44" w:rsidRDefault="00D26F44" w:rsidP="00C01F87">
      <w:pPr>
        <w:spacing w:after="120"/>
      </w:pPr>
    </w:p>
    <w:sectPr w:rsidR="00D26F44" w:rsidSect="00F14F3B">
      <w:headerReference w:type="default" r:id="rId25"/>
      <w:pgSz w:w="11907" w:h="16840" w:code="9"/>
      <w:pgMar w:top="957" w:right="1440" w:bottom="1440" w:left="1440" w:header="720" w:footer="595"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47" w:rsidRDefault="00045047" w:rsidP="00691B2B">
      <w:r>
        <w:separator/>
      </w:r>
    </w:p>
    <w:p w:rsidR="00045047" w:rsidRDefault="00045047" w:rsidP="00691B2B"/>
    <w:p w:rsidR="00045047" w:rsidRDefault="00045047" w:rsidP="00691B2B"/>
  </w:endnote>
  <w:endnote w:type="continuationSeparator" w:id="0">
    <w:p w:rsidR="00045047" w:rsidRDefault="00045047" w:rsidP="00691B2B">
      <w:r>
        <w:continuationSeparator/>
      </w:r>
    </w:p>
    <w:p w:rsidR="00045047" w:rsidRDefault="00045047" w:rsidP="00691B2B"/>
    <w:p w:rsidR="00045047" w:rsidRDefault="00045047" w:rsidP="00691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47" w:rsidRDefault="00045047" w:rsidP="0021640C">
    <w:pPr>
      <w:pStyle w:val="Footer"/>
      <w:jc w:val="center"/>
      <w:rPr>
        <w:sz w:val="18"/>
        <w:szCs w:val="18"/>
      </w:rPr>
    </w:pPr>
  </w:p>
  <w:p w:rsidR="00045047" w:rsidRPr="00490500" w:rsidRDefault="00045047" w:rsidP="0021640C">
    <w:pPr>
      <w:pStyle w:val="Footer"/>
      <w:jc w:val="center"/>
      <w:rPr>
        <w:rFonts w:asciiTheme="majorHAnsi" w:hAnsiTheme="majorHAnsi" w:cstheme="majorHAnsi"/>
        <w:color w:val="808080" w:themeColor="background1" w:themeShade="80"/>
        <w:sz w:val="18"/>
        <w:szCs w:val="18"/>
      </w:rPr>
    </w:pPr>
    <w:r w:rsidRPr="00490500">
      <w:rPr>
        <w:rFonts w:asciiTheme="majorHAnsi" w:hAnsiTheme="majorHAnsi" w:cstheme="majorHAnsi"/>
        <w:color w:val="808080" w:themeColor="background1" w:themeShade="80"/>
        <w:sz w:val="18"/>
        <w:szCs w:val="18"/>
      </w:rPr>
      <w:t>Funding for the production of this report has been provided by the Australian Government Office for Learning and Teaching. The views expressed in this report do not necessarily reflect the views of the Australian Government Office for Learning and Teaching.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3B" w:rsidRPr="00F14F3B" w:rsidRDefault="00F14F3B" w:rsidP="00F14F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color w:val="808080" w:themeColor="background1" w:themeShade="80"/>
      </w:rPr>
      <w:id w:val="-1089548018"/>
      <w:docPartObj>
        <w:docPartGallery w:val="Page Numbers (Bottom of Page)"/>
        <w:docPartUnique/>
      </w:docPartObj>
    </w:sdtPr>
    <w:sdtEndPr>
      <w:rPr>
        <w:noProof/>
      </w:rPr>
    </w:sdtEndPr>
    <w:sdtContent>
      <w:p w:rsidR="00C44D86" w:rsidRPr="00490500" w:rsidRDefault="00C44D86">
        <w:pPr>
          <w:pStyle w:val="Footer"/>
          <w:jc w:val="right"/>
          <w:rPr>
            <w:rFonts w:asciiTheme="majorHAnsi" w:hAnsiTheme="majorHAnsi" w:cstheme="majorHAnsi"/>
            <w:color w:val="808080" w:themeColor="background1" w:themeShade="80"/>
          </w:rPr>
        </w:pPr>
        <w:r w:rsidRPr="00490500">
          <w:rPr>
            <w:rFonts w:asciiTheme="majorHAnsi" w:hAnsiTheme="majorHAnsi" w:cstheme="majorHAnsi"/>
            <w:color w:val="808080" w:themeColor="background1" w:themeShade="80"/>
          </w:rPr>
          <w:fldChar w:fldCharType="begin"/>
        </w:r>
        <w:r w:rsidRPr="00490500">
          <w:rPr>
            <w:rFonts w:asciiTheme="majorHAnsi" w:hAnsiTheme="majorHAnsi" w:cstheme="majorHAnsi"/>
            <w:color w:val="808080" w:themeColor="background1" w:themeShade="80"/>
          </w:rPr>
          <w:instrText xml:space="preserve"> PAGE   \* MERGEFORMAT </w:instrText>
        </w:r>
        <w:r w:rsidRPr="00490500">
          <w:rPr>
            <w:rFonts w:asciiTheme="majorHAnsi" w:hAnsiTheme="majorHAnsi" w:cstheme="majorHAnsi"/>
            <w:color w:val="808080" w:themeColor="background1" w:themeShade="80"/>
          </w:rPr>
          <w:fldChar w:fldCharType="separate"/>
        </w:r>
        <w:r w:rsidR="001621BD">
          <w:rPr>
            <w:rFonts w:asciiTheme="majorHAnsi" w:hAnsiTheme="majorHAnsi" w:cstheme="majorHAnsi"/>
            <w:noProof/>
            <w:color w:val="808080" w:themeColor="background1" w:themeShade="80"/>
          </w:rPr>
          <w:t>19</w:t>
        </w:r>
        <w:r w:rsidRPr="00490500">
          <w:rPr>
            <w:rFonts w:asciiTheme="majorHAnsi" w:hAnsiTheme="majorHAnsi" w:cstheme="majorHAnsi"/>
            <w:noProof/>
            <w:color w:val="808080" w:themeColor="background1" w:themeShade="80"/>
          </w:rPr>
          <w:fldChar w:fldCharType="end"/>
        </w:r>
      </w:p>
    </w:sdtContent>
  </w:sdt>
  <w:p w:rsidR="00C44D86" w:rsidRPr="00490500" w:rsidRDefault="00C44D86" w:rsidP="00F14F3B">
    <w:pPr>
      <w:pStyle w:val="Footer"/>
      <w:rPr>
        <w:rFonts w:asciiTheme="majorHAnsi" w:hAnsiTheme="majorHAnsi" w:cstheme="majorHAnsi"/>
        <w:color w:val="808080" w:themeColor="background1" w:themeShade="80"/>
      </w:rPr>
    </w:pPr>
    <w:r w:rsidRPr="00490500">
      <w:rPr>
        <w:rFonts w:asciiTheme="majorHAnsi" w:hAnsiTheme="majorHAnsi" w:cstheme="majorHAnsi"/>
        <w:color w:val="808080" w:themeColor="background1" w:themeShade="80"/>
      </w:rPr>
      <w:t>Journalism, Media and Communication Network</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96161"/>
      <w:docPartObj>
        <w:docPartGallery w:val="Page Numbers (Bottom of Page)"/>
        <w:docPartUnique/>
      </w:docPartObj>
    </w:sdtPr>
    <w:sdtEndPr>
      <w:rPr>
        <w:noProof/>
      </w:rPr>
    </w:sdtEndPr>
    <w:sdtContent>
      <w:p w:rsidR="00F14F3B" w:rsidRDefault="00F14F3B">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rsidR="00F14F3B" w:rsidRPr="00F14F3B" w:rsidRDefault="00F14F3B" w:rsidP="00F14F3B">
    <w:pPr>
      <w:pStyle w:val="Footer"/>
    </w:pPr>
    <w:r>
      <w:t>jjj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47" w:rsidRDefault="00045047" w:rsidP="00691B2B">
      <w:r>
        <w:separator/>
      </w:r>
    </w:p>
    <w:p w:rsidR="00045047" w:rsidRDefault="00045047" w:rsidP="00691B2B"/>
    <w:p w:rsidR="00045047" w:rsidRDefault="00045047" w:rsidP="00691B2B"/>
  </w:footnote>
  <w:footnote w:type="continuationSeparator" w:id="0">
    <w:p w:rsidR="00045047" w:rsidRDefault="00045047" w:rsidP="00691B2B">
      <w:r>
        <w:continuationSeparator/>
      </w:r>
    </w:p>
    <w:p w:rsidR="00045047" w:rsidRDefault="00045047" w:rsidP="00691B2B"/>
    <w:p w:rsidR="00045047" w:rsidRDefault="00045047" w:rsidP="00691B2B"/>
  </w:footnote>
  <w:footnote w:id="1">
    <w:p w:rsidR="00045047" w:rsidRPr="00BE7A7F" w:rsidRDefault="00045047" w:rsidP="00BC6A2A">
      <w:pPr>
        <w:pStyle w:val="FootnoteText"/>
        <w:rPr>
          <w:sz w:val="20"/>
          <w:szCs w:val="20"/>
        </w:rPr>
      </w:pPr>
      <w:r>
        <w:rPr>
          <w:rStyle w:val="FootnoteReference"/>
        </w:rPr>
        <w:footnoteRef/>
      </w:r>
      <w:r>
        <w:t xml:space="preserve"> </w:t>
      </w:r>
      <w:r w:rsidRPr="00BE7A7F">
        <w:rPr>
          <w:sz w:val="20"/>
          <w:szCs w:val="20"/>
        </w:rPr>
        <w:t xml:space="preserve">Belcher, E., Kingston, R. J., Knighton, B., McKenzie, R., Thomas, M., &amp; Arnone, E. (2002). </w:t>
      </w:r>
    </w:p>
    <w:p w:rsidR="00045047" w:rsidRPr="003574C9" w:rsidRDefault="00045047">
      <w:pPr>
        <w:pStyle w:val="FootnoteText"/>
        <w:rPr>
          <w:i/>
          <w:sz w:val="20"/>
          <w:szCs w:val="20"/>
        </w:rPr>
      </w:pPr>
      <w:r w:rsidRPr="00BE7A7F">
        <w:rPr>
          <w:i/>
          <w:sz w:val="20"/>
          <w:szCs w:val="20"/>
        </w:rPr>
        <w:t xml:space="preserve">Framing issues for public deliberation </w:t>
      </w:r>
      <w:r>
        <w:rPr>
          <w:i/>
          <w:sz w:val="20"/>
          <w:szCs w:val="20"/>
        </w:rPr>
        <w:t>–</w:t>
      </w:r>
      <w:r w:rsidRPr="00BE7A7F">
        <w:rPr>
          <w:i/>
          <w:sz w:val="20"/>
          <w:szCs w:val="20"/>
        </w:rPr>
        <w:t xml:space="preserve"> a curriculum guide for workshops</w:t>
      </w:r>
      <w:r w:rsidRPr="00BE7A7F">
        <w:rPr>
          <w:sz w:val="20"/>
          <w:szCs w:val="20"/>
        </w:rPr>
        <w:t xml:space="preserve">. Dayton, </w:t>
      </w:r>
      <w:r>
        <w:rPr>
          <w:sz w:val="20"/>
          <w:szCs w:val="20"/>
        </w:rPr>
        <w:t>OH</w:t>
      </w:r>
      <w:r w:rsidRPr="00BE7A7F">
        <w:rPr>
          <w:sz w:val="20"/>
          <w:szCs w:val="20"/>
        </w:rPr>
        <w:t>: Kettering Foundation</w:t>
      </w:r>
      <w:r w:rsidRPr="00BC6A2A">
        <w:t xml:space="preserve">. </w:t>
      </w:r>
    </w:p>
  </w:footnote>
  <w:footnote w:id="2">
    <w:p w:rsidR="00045047" w:rsidRPr="00943587" w:rsidRDefault="00045047">
      <w:pPr>
        <w:pStyle w:val="FootnoteText"/>
        <w:rPr>
          <w:sz w:val="20"/>
          <w:szCs w:val="20"/>
          <w:lang w:val="en-US"/>
        </w:rPr>
      </w:pPr>
      <w:r>
        <w:rPr>
          <w:rStyle w:val="FootnoteReference"/>
        </w:rPr>
        <w:footnoteRef/>
      </w:r>
      <w:r>
        <w:t xml:space="preserve"> </w:t>
      </w:r>
      <w:r>
        <w:rPr>
          <w:sz w:val="20"/>
          <w:szCs w:val="20"/>
          <w:lang w:val="en-US"/>
        </w:rPr>
        <w:t xml:space="preserve">Wagenaar, T.C. (1993). The capstone course. </w:t>
      </w:r>
      <w:r w:rsidRPr="00744ECF">
        <w:rPr>
          <w:i/>
          <w:sz w:val="20"/>
          <w:szCs w:val="20"/>
          <w:lang w:val="en-US"/>
        </w:rPr>
        <w:t>Teaching Sociology</w:t>
      </w:r>
      <w:r>
        <w:rPr>
          <w:sz w:val="20"/>
          <w:szCs w:val="20"/>
          <w:lang w:val="en-US"/>
        </w:rPr>
        <w:t xml:space="preserve">, </w:t>
      </w:r>
      <w:r w:rsidRPr="00794A53">
        <w:rPr>
          <w:i/>
          <w:sz w:val="20"/>
          <w:szCs w:val="20"/>
          <w:lang w:val="en-US"/>
        </w:rPr>
        <w:t>21</w:t>
      </w:r>
      <w:r>
        <w:rPr>
          <w:sz w:val="20"/>
          <w:szCs w:val="20"/>
          <w:lang w:val="en-US"/>
        </w:rPr>
        <w:t xml:space="preserve">(3), 209–214. See also Rosenberry, J. &amp; Vicker L.A. (2006). Capstone courses in Mass Communication programs. </w:t>
      </w:r>
      <w:r w:rsidRPr="00744ECF">
        <w:rPr>
          <w:i/>
          <w:sz w:val="20"/>
          <w:szCs w:val="20"/>
          <w:lang w:val="en-US"/>
        </w:rPr>
        <w:t>Journalism &amp; Mass Communication Educator</w:t>
      </w:r>
      <w:r>
        <w:rPr>
          <w:sz w:val="20"/>
          <w:szCs w:val="20"/>
          <w:lang w:val="en-US"/>
        </w:rPr>
        <w:t xml:space="preserve">, </w:t>
      </w:r>
      <w:r w:rsidRPr="00794A53">
        <w:rPr>
          <w:i/>
          <w:sz w:val="20"/>
          <w:szCs w:val="20"/>
          <w:lang w:val="en-US"/>
        </w:rPr>
        <w:t>61</w:t>
      </w:r>
      <w:r>
        <w:rPr>
          <w:sz w:val="20"/>
          <w:szCs w:val="20"/>
          <w:lang w:val="en-US"/>
        </w:rPr>
        <w:t xml:space="preserve">(3), 267–283 (at p. 268).  </w:t>
      </w:r>
    </w:p>
  </w:footnote>
  <w:footnote w:id="3">
    <w:p w:rsidR="00FA1B7B" w:rsidRPr="00CD2047" w:rsidRDefault="00FA1B7B" w:rsidP="00FA1B7B">
      <w:pPr>
        <w:pStyle w:val="FootnoteText"/>
        <w:rPr>
          <w:lang w:val="en-US"/>
        </w:rPr>
      </w:pPr>
      <w:r>
        <w:rPr>
          <w:rStyle w:val="FootnoteReference"/>
        </w:rPr>
        <w:footnoteRef/>
      </w:r>
      <w:r>
        <w:t xml:space="preserve"> </w:t>
      </w:r>
      <w:r>
        <w:rPr>
          <w:sz w:val="20"/>
          <w:szCs w:val="20"/>
        </w:rPr>
        <w:t>Belcher et al.</w:t>
      </w:r>
      <w:r w:rsidRPr="00744ECF">
        <w:rPr>
          <w:sz w:val="20"/>
          <w:szCs w:val="20"/>
        </w:rPr>
        <w:t xml:space="preserve">, </w:t>
      </w:r>
      <w:r w:rsidRPr="00CD2047">
        <w:rPr>
          <w:sz w:val="20"/>
          <w:szCs w:val="20"/>
        </w:rPr>
        <w:t>op. cit.,</w:t>
      </w:r>
      <w:r>
        <w:rPr>
          <w:i/>
          <w:iCs/>
          <w:sz w:val="20"/>
          <w:szCs w:val="20"/>
        </w:rPr>
        <w:t xml:space="preserve"> </w:t>
      </w:r>
      <w:r>
        <w:rPr>
          <w:sz w:val="20"/>
          <w:szCs w:val="20"/>
        </w:rPr>
        <w:t>p. 19.</w:t>
      </w:r>
    </w:p>
  </w:footnote>
  <w:footnote w:id="4">
    <w:p w:rsidR="0014064D" w:rsidRPr="0014064D" w:rsidRDefault="0014064D" w:rsidP="00942FEC">
      <w:pPr>
        <w:pStyle w:val="FootnoteText"/>
        <w:rPr>
          <w:sz w:val="20"/>
          <w:szCs w:val="20"/>
        </w:rPr>
      </w:pPr>
      <w:r>
        <w:rPr>
          <w:rStyle w:val="FootnoteReference"/>
        </w:rPr>
        <w:footnoteRef/>
      </w:r>
      <w:r>
        <w:t xml:space="preserve"> </w:t>
      </w:r>
      <w:r>
        <w:rPr>
          <w:sz w:val="20"/>
          <w:szCs w:val="20"/>
        </w:rPr>
        <w:t>For more detail, see R</w:t>
      </w:r>
      <w:r w:rsidRPr="0014064D">
        <w:rPr>
          <w:sz w:val="20"/>
          <w:szCs w:val="20"/>
        </w:rPr>
        <w:t xml:space="preserve">omano, </w:t>
      </w:r>
      <w:r>
        <w:rPr>
          <w:sz w:val="20"/>
          <w:szCs w:val="20"/>
        </w:rPr>
        <w:t>A. (2014</w:t>
      </w:r>
      <w:r w:rsidR="00732411">
        <w:rPr>
          <w:sz w:val="20"/>
          <w:szCs w:val="20"/>
        </w:rPr>
        <w:t>, 9–11 July</w:t>
      </w:r>
      <w:r>
        <w:rPr>
          <w:sz w:val="20"/>
          <w:szCs w:val="20"/>
        </w:rPr>
        <w:t xml:space="preserve">). Standards that we can ‘own’.  </w:t>
      </w:r>
      <w:r w:rsidR="00732411" w:rsidRPr="00732411">
        <w:rPr>
          <w:sz w:val="20"/>
          <w:szCs w:val="20"/>
        </w:rPr>
        <w:t xml:space="preserve">Paper presented at the </w:t>
      </w:r>
      <w:r w:rsidR="00732411">
        <w:rPr>
          <w:sz w:val="20"/>
          <w:szCs w:val="20"/>
        </w:rPr>
        <w:t>A</w:t>
      </w:r>
      <w:r w:rsidR="00942FEC">
        <w:rPr>
          <w:sz w:val="20"/>
          <w:szCs w:val="20"/>
        </w:rPr>
        <w:t xml:space="preserve">ustralian and </w:t>
      </w:r>
      <w:r w:rsidR="00732411">
        <w:rPr>
          <w:sz w:val="20"/>
          <w:szCs w:val="20"/>
        </w:rPr>
        <w:t>N</w:t>
      </w:r>
      <w:r w:rsidR="00942FEC">
        <w:rPr>
          <w:sz w:val="20"/>
          <w:szCs w:val="20"/>
        </w:rPr>
        <w:t xml:space="preserve">ew </w:t>
      </w:r>
      <w:r w:rsidR="00732411">
        <w:rPr>
          <w:sz w:val="20"/>
          <w:szCs w:val="20"/>
        </w:rPr>
        <w:t>Z</w:t>
      </w:r>
      <w:r w:rsidR="00C64C3A">
        <w:rPr>
          <w:sz w:val="20"/>
          <w:szCs w:val="20"/>
        </w:rPr>
        <w:t xml:space="preserve">ealand </w:t>
      </w:r>
      <w:r w:rsidR="00732411">
        <w:rPr>
          <w:sz w:val="20"/>
          <w:szCs w:val="20"/>
        </w:rPr>
        <w:t>C</w:t>
      </w:r>
      <w:r w:rsidR="00C64C3A">
        <w:rPr>
          <w:sz w:val="20"/>
          <w:szCs w:val="20"/>
        </w:rPr>
        <w:t xml:space="preserve">ommunication </w:t>
      </w:r>
      <w:r w:rsidR="00732411">
        <w:rPr>
          <w:sz w:val="20"/>
          <w:szCs w:val="20"/>
        </w:rPr>
        <w:t>A</w:t>
      </w:r>
      <w:r w:rsidR="00C64C3A">
        <w:rPr>
          <w:sz w:val="20"/>
          <w:szCs w:val="20"/>
        </w:rPr>
        <w:t>ssociation</w:t>
      </w:r>
      <w:r w:rsidR="00732411">
        <w:rPr>
          <w:sz w:val="20"/>
          <w:szCs w:val="20"/>
        </w:rPr>
        <w:t xml:space="preserve"> Conference, </w:t>
      </w:r>
      <w:r w:rsidR="00C64C3A">
        <w:rPr>
          <w:sz w:val="20"/>
          <w:szCs w:val="20"/>
        </w:rPr>
        <w:t xml:space="preserve">Swinburne University of Technology, </w:t>
      </w:r>
      <w:r w:rsidR="00732411">
        <w:rPr>
          <w:sz w:val="20"/>
          <w:szCs w:val="20"/>
        </w:rPr>
        <w:t>Melbourne. Available at &lt;</w:t>
      </w:r>
      <w:r w:rsidRPr="0014064D">
        <w:rPr>
          <w:sz w:val="20"/>
          <w:szCs w:val="20"/>
        </w:rPr>
        <w:t>eprints.qut.edu.au/74192/2/74192.pdf</w:t>
      </w:r>
      <w:r w:rsidR="00732411">
        <w:rPr>
          <w:sz w:val="20"/>
          <w:szCs w:val="20"/>
        </w:rPr>
        <w:t>&gt;</w:t>
      </w:r>
      <w:r w:rsidR="00942FEC">
        <w:rPr>
          <w:sz w:val="20"/>
          <w:szCs w:val="20"/>
        </w:rPr>
        <w:t xml:space="preserve"> </w:t>
      </w:r>
      <w:r>
        <w:rPr>
          <w:sz w:val="20"/>
          <w:szCs w:val="20"/>
        </w:rPr>
        <w:t>(at pp. 8–14).</w:t>
      </w:r>
    </w:p>
  </w:footnote>
  <w:footnote w:id="5">
    <w:p w:rsidR="00453065" w:rsidRPr="00784706" w:rsidRDefault="00453065" w:rsidP="00453065">
      <w:pPr>
        <w:pStyle w:val="FootnoteText"/>
        <w:rPr>
          <w:lang w:val="en-US"/>
        </w:rPr>
      </w:pPr>
      <w:r>
        <w:rPr>
          <w:rStyle w:val="FootnoteReference"/>
        </w:rPr>
        <w:footnoteRef/>
      </w:r>
      <w:r>
        <w:t xml:space="preserve"> </w:t>
      </w:r>
      <w:r w:rsidR="00381267">
        <w:rPr>
          <w:sz w:val="20"/>
          <w:szCs w:val="20"/>
        </w:rPr>
        <w:t>Belcher et al.</w:t>
      </w:r>
      <w:r w:rsidR="00381267" w:rsidRPr="00744ECF">
        <w:rPr>
          <w:sz w:val="20"/>
          <w:szCs w:val="20"/>
        </w:rPr>
        <w:t xml:space="preserve">, </w:t>
      </w:r>
      <w:r w:rsidR="00381267" w:rsidRPr="00CD2047">
        <w:rPr>
          <w:sz w:val="20"/>
          <w:szCs w:val="20"/>
        </w:rPr>
        <w:t>op. cit.,</w:t>
      </w:r>
      <w:r w:rsidR="00381267">
        <w:rPr>
          <w:i/>
          <w:iCs/>
          <w:sz w:val="20"/>
          <w:szCs w:val="20"/>
        </w:rPr>
        <w:t xml:space="preserve"> </w:t>
      </w:r>
      <w:r w:rsidR="00381267">
        <w:rPr>
          <w:sz w:val="20"/>
          <w:szCs w:val="20"/>
        </w:rPr>
        <w:t>p. 19.</w:t>
      </w:r>
    </w:p>
  </w:footnote>
  <w:footnote w:id="6">
    <w:p w:rsidR="00453065" w:rsidRPr="00784706" w:rsidRDefault="00453065" w:rsidP="0014064D">
      <w:pPr>
        <w:pStyle w:val="FootnoteText"/>
        <w:rPr>
          <w:lang w:val="en-US"/>
        </w:rPr>
      </w:pPr>
      <w:r>
        <w:rPr>
          <w:rStyle w:val="FootnoteReference"/>
        </w:rPr>
        <w:footnoteRef/>
      </w:r>
      <w:r>
        <w:t xml:space="preserve"> </w:t>
      </w:r>
      <w:r w:rsidRPr="00784706">
        <w:rPr>
          <w:sz w:val="20"/>
          <w:szCs w:val="20"/>
          <w:lang w:val="en-US"/>
        </w:rPr>
        <w:t>Ibid</w:t>
      </w:r>
      <w:r>
        <w:rPr>
          <w:sz w:val="20"/>
          <w:szCs w:val="20"/>
          <w:lang w:val="en-US"/>
        </w:rPr>
        <w:t>.</w:t>
      </w:r>
    </w:p>
  </w:footnote>
  <w:footnote w:id="7">
    <w:p w:rsidR="00045047" w:rsidRPr="00D5420A" w:rsidRDefault="00045047" w:rsidP="00223B5D">
      <w:pPr>
        <w:pStyle w:val="FootnoteText"/>
      </w:pPr>
      <w:r>
        <w:rPr>
          <w:rStyle w:val="FootnoteReference"/>
        </w:rPr>
        <w:footnoteRef/>
      </w:r>
      <w:r>
        <w:t xml:space="preserve"> </w:t>
      </w:r>
      <w:r w:rsidRPr="00D5420A">
        <w:rPr>
          <w:sz w:val="20"/>
          <w:szCs w:val="20"/>
        </w:rPr>
        <w:t>Australian Qualifications Framework Council (2013)</w:t>
      </w:r>
      <w:r>
        <w:rPr>
          <w:sz w:val="20"/>
          <w:szCs w:val="20"/>
        </w:rPr>
        <w:t>.</w:t>
      </w:r>
      <w:r w:rsidRPr="00D5420A">
        <w:rPr>
          <w:sz w:val="20"/>
          <w:szCs w:val="20"/>
        </w:rPr>
        <w:t xml:space="preserve"> </w:t>
      </w:r>
      <w:r w:rsidRPr="00D5420A">
        <w:rPr>
          <w:i/>
          <w:sz w:val="20"/>
          <w:szCs w:val="20"/>
        </w:rPr>
        <w:t>Australian Qualifications Framework</w:t>
      </w:r>
      <w:r>
        <w:rPr>
          <w:sz w:val="20"/>
          <w:szCs w:val="20"/>
        </w:rPr>
        <w:t>.  Adelaide, SA: AQF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445" w:rsidRDefault="00FB7445">
    <w:pPr>
      <w:pStyle w:val="Header"/>
    </w:pPr>
    <w:r>
      <w:rPr>
        <w:noProof/>
        <w:lang w:eastAsia="en-AU"/>
      </w:rPr>
      <w:drawing>
        <wp:anchor distT="0" distB="0" distL="114300" distR="114300" simplePos="0" relativeHeight="251658240" behindDoc="0" locked="0" layoutInCell="1" allowOverlap="1" wp14:anchorId="7DB5F901" wp14:editId="491E8DB4">
          <wp:simplePos x="0" y="0"/>
          <wp:positionH relativeFrom="column">
            <wp:posOffset>2635885</wp:posOffset>
          </wp:positionH>
          <wp:positionV relativeFrom="paragraph">
            <wp:posOffset>365760</wp:posOffset>
          </wp:positionV>
          <wp:extent cx="3644900" cy="121285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T_cobrand_inline_v1_cmyk.jpg"/>
                  <pic:cNvPicPr/>
                </pic:nvPicPr>
                <pic:blipFill>
                  <a:blip r:embed="rId1">
                    <a:extLst>
                      <a:ext uri="{28A0092B-C50C-407E-A947-70E740481C1C}">
                        <a14:useLocalDpi xmlns:a14="http://schemas.microsoft.com/office/drawing/2010/main" val="0"/>
                      </a:ext>
                    </a:extLst>
                  </a:blip>
                  <a:stretch>
                    <a:fillRect/>
                  </a:stretch>
                </pic:blipFill>
                <pic:spPr>
                  <a:xfrm>
                    <a:off x="0" y="0"/>
                    <a:ext cx="3644900" cy="1212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3B" w:rsidRDefault="00F14F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445" w:rsidRDefault="00FB74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3B" w:rsidRDefault="00F14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844"/>
    <w:multiLevelType w:val="hybridMultilevel"/>
    <w:tmpl w:val="26168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70053"/>
    <w:multiLevelType w:val="hybridMultilevel"/>
    <w:tmpl w:val="2CA2AC2C"/>
    <w:lvl w:ilvl="0" w:tplc="A1DE4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FB433B"/>
    <w:multiLevelType w:val="hybridMultilevel"/>
    <w:tmpl w:val="FE78E1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74E4C"/>
    <w:multiLevelType w:val="hybridMultilevel"/>
    <w:tmpl w:val="172A19F4"/>
    <w:lvl w:ilvl="0" w:tplc="04090017">
      <w:start w:val="1"/>
      <w:numFmt w:val="lowerLetter"/>
      <w:lvlText w:val="%1)"/>
      <w:lvlJc w:val="left"/>
      <w:pPr>
        <w:ind w:left="72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8154EFD"/>
    <w:multiLevelType w:val="hybridMultilevel"/>
    <w:tmpl w:val="2F74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F18D7"/>
    <w:multiLevelType w:val="hybridMultilevel"/>
    <w:tmpl w:val="40B61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39631E"/>
    <w:multiLevelType w:val="hybridMultilevel"/>
    <w:tmpl w:val="6F2C4940"/>
    <w:lvl w:ilvl="0" w:tplc="53FEB77C">
      <w:numFmt w:val="bullet"/>
      <w:lvlText w:val="-"/>
      <w:lvlJc w:val="left"/>
      <w:pPr>
        <w:ind w:left="360" w:hanging="360"/>
      </w:pPr>
      <w:rPr>
        <w:rFonts w:ascii="Times New Roman" w:eastAsia="Cambria" w:hAnsi="Times New Roman" w:cs="Times New Roman" w:hint="default"/>
      </w:rPr>
    </w:lvl>
    <w:lvl w:ilvl="1" w:tplc="04090001">
      <w:start w:val="1"/>
      <w:numFmt w:val="bullet"/>
      <w:lvlText w:val=""/>
      <w:lvlJc w:val="left"/>
      <w:pPr>
        <w:ind w:left="72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9FB7540"/>
    <w:multiLevelType w:val="hybridMultilevel"/>
    <w:tmpl w:val="BF0CA1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F1DC0"/>
    <w:multiLevelType w:val="hybridMultilevel"/>
    <w:tmpl w:val="1930BD1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A804D6"/>
    <w:multiLevelType w:val="hybridMultilevel"/>
    <w:tmpl w:val="44C811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056FC"/>
    <w:multiLevelType w:val="hybridMultilevel"/>
    <w:tmpl w:val="72FA5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247FB3"/>
    <w:multiLevelType w:val="hybridMultilevel"/>
    <w:tmpl w:val="73E6E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01097"/>
    <w:multiLevelType w:val="hybridMultilevel"/>
    <w:tmpl w:val="3FCAA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175BAD"/>
    <w:multiLevelType w:val="hybridMultilevel"/>
    <w:tmpl w:val="76EA5B4A"/>
    <w:lvl w:ilvl="0" w:tplc="53FEB77C">
      <w:numFmt w:val="bullet"/>
      <w:lvlText w:val="-"/>
      <w:lvlJc w:val="left"/>
      <w:pPr>
        <w:ind w:left="360" w:hanging="360"/>
      </w:pPr>
      <w:rPr>
        <w:rFonts w:ascii="Times New Roman" w:eastAsia="Cambria" w:hAnsi="Times New Roman" w:cs="Times New Roman" w:hint="default"/>
      </w:rPr>
    </w:lvl>
    <w:lvl w:ilvl="1" w:tplc="04090001">
      <w:start w:val="1"/>
      <w:numFmt w:val="bullet"/>
      <w:lvlText w:val=""/>
      <w:lvlJc w:val="left"/>
      <w:pPr>
        <w:ind w:left="72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ABC6BC4"/>
    <w:multiLevelType w:val="hybridMultilevel"/>
    <w:tmpl w:val="20189B4A"/>
    <w:lvl w:ilvl="0" w:tplc="8C9CD650">
      <w:start w:val="1"/>
      <w:numFmt w:val="decimal"/>
      <w:pStyle w:val="MediumGrid1-Accent21"/>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3BF60DD5"/>
    <w:multiLevelType w:val="hybridMultilevel"/>
    <w:tmpl w:val="CD32AC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2584F"/>
    <w:multiLevelType w:val="hybridMultilevel"/>
    <w:tmpl w:val="4F56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46CA7"/>
    <w:multiLevelType w:val="hybridMultilevel"/>
    <w:tmpl w:val="474C7BB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60577"/>
    <w:multiLevelType w:val="hybridMultilevel"/>
    <w:tmpl w:val="96E43F3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24A43"/>
    <w:multiLevelType w:val="hybridMultilevel"/>
    <w:tmpl w:val="4A5E7B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5D53E5"/>
    <w:multiLevelType w:val="hybridMultilevel"/>
    <w:tmpl w:val="91C480EA"/>
    <w:lvl w:ilvl="0" w:tplc="F2B25376">
      <w:start w:val="1"/>
      <w:numFmt w:val="lowerLetter"/>
      <w:lvlText w:val="%1)"/>
      <w:lvlJc w:val="left"/>
      <w:pPr>
        <w:ind w:left="720" w:hanging="360"/>
      </w:pPr>
      <w:rPr>
        <w:rFonts w:ascii="Calibri" w:hAnsi="Calibri"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493D73"/>
    <w:multiLevelType w:val="hybridMultilevel"/>
    <w:tmpl w:val="40706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0AB0081"/>
    <w:multiLevelType w:val="hybridMultilevel"/>
    <w:tmpl w:val="176E5C74"/>
    <w:lvl w:ilvl="0" w:tplc="4C1AD25E">
      <w:start w:val="1"/>
      <w:numFmt w:val="bullet"/>
      <w:pStyle w:val="Bulletlis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nsid w:val="52A665CF"/>
    <w:multiLevelType w:val="hybridMultilevel"/>
    <w:tmpl w:val="E7BA4C5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EA6ED3"/>
    <w:multiLevelType w:val="multilevel"/>
    <w:tmpl w:val="57A26E8E"/>
    <w:lvl w:ilvl="0">
      <w:start w:val="1"/>
      <w:numFmt w:val="decimal"/>
      <w:pStyle w:val="StyleOutlinenumberedLeft063cmHanging063cm"/>
      <w:lvlText w:val="%1."/>
      <w:lvlJc w:val="left"/>
      <w:pPr>
        <w:ind w:left="720" w:hanging="360"/>
      </w:pPr>
      <w:rPr>
        <w:rFonts w:hint="default"/>
      </w:rPr>
    </w:lvl>
    <w:lvl w:ilvl="1">
      <w:start w:val="1"/>
      <w:numFmt w:val="decimal"/>
      <w:pStyle w:val="StyleOutlinenumberedLeft127cmHanging063cm"/>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600604B7"/>
    <w:multiLevelType w:val="hybridMultilevel"/>
    <w:tmpl w:val="08109A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1F24DE3"/>
    <w:multiLevelType w:val="hybridMultilevel"/>
    <w:tmpl w:val="7EF4E42C"/>
    <w:lvl w:ilvl="0" w:tplc="04090017">
      <w:start w:val="1"/>
      <w:numFmt w:val="lowerLetter"/>
      <w:lvlText w:val="%1)"/>
      <w:lvlJc w:val="left"/>
      <w:pPr>
        <w:ind w:left="720" w:hanging="360"/>
      </w:pPr>
      <w:rPr>
        <w:rFonts w:hint="default"/>
        <w:b w:val="0"/>
        <w:bCs w:val="0"/>
        <w:i w:val="0"/>
        <w:iCs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8EB466C"/>
    <w:multiLevelType w:val="hybridMultilevel"/>
    <w:tmpl w:val="B5E49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7F0F80"/>
    <w:multiLevelType w:val="hybridMultilevel"/>
    <w:tmpl w:val="86C221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0B0296"/>
    <w:multiLevelType w:val="hybridMultilevel"/>
    <w:tmpl w:val="2B0A71D8"/>
    <w:lvl w:ilvl="0" w:tplc="D368F4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D8799D"/>
    <w:multiLevelType w:val="hybridMultilevel"/>
    <w:tmpl w:val="873472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492F8E"/>
    <w:multiLevelType w:val="hybridMultilevel"/>
    <w:tmpl w:val="2B9A18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AF71D1"/>
    <w:multiLevelType w:val="hybridMultilevel"/>
    <w:tmpl w:val="63A4246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1053C1"/>
    <w:multiLevelType w:val="hybridMultilevel"/>
    <w:tmpl w:val="AAC843CC"/>
    <w:lvl w:ilvl="0" w:tplc="0C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1520EA"/>
    <w:multiLevelType w:val="hybridMultilevel"/>
    <w:tmpl w:val="C4EE6D8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7C3BC3"/>
    <w:multiLevelType w:val="hybridMultilevel"/>
    <w:tmpl w:val="E9EA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7"/>
  </w:num>
  <w:num w:numId="4">
    <w:abstractNumId w:val="13"/>
  </w:num>
  <w:num w:numId="5">
    <w:abstractNumId w:val="6"/>
  </w:num>
  <w:num w:numId="6">
    <w:abstractNumId w:val="11"/>
  </w:num>
  <w:num w:numId="7">
    <w:abstractNumId w:val="16"/>
  </w:num>
  <w:num w:numId="8">
    <w:abstractNumId w:val="35"/>
  </w:num>
  <w:num w:numId="9">
    <w:abstractNumId w:val="29"/>
  </w:num>
  <w:num w:numId="10">
    <w:abstractNumId w:val="1"/>
  </w:num>
  <w:num w:numId="11">
    <w:abstractNumId w:val="25"/>
  </w:num>
  <w:num w:numId="12">
    <w:abstractNumId w:val="10"/>
  </w:num>
  <w:num w:numId="13">
    <w:abstractNumId w:val="20"/>
  </w:num>
  <w:num w:numId="14">
    <w:abstractNumId w:val="12"/>
  </w:num>
  <w:num w:numId="15">
    <w:abstractNumId w:val="34"/>
  </w:num>
  <w:num w:numId="16">
    <w:abstractNumId w:val="2"/>
  </w:num>
  <w:num w:numId="17">
    <w:abstractNumId w:val="26"/>
  </w:num>
  <w:num w:numId="18">
    <w:abstractNumId w:val="28"/>
  </w:num>
  <w:num w:numId="19">
    <w:abstractNumId w:val="19"/>
  </w:num>
  <w:num w:numId="20">
    <w:abstractNumId w:val="4"/>
  </w:num>
  <w:num w:numId="21">
    <w:abstractNumId w:val="9"/>
  </w:num>
  <w:num w:numId="22">
    <w:abstractNumId w:val="18"/>
  </w:num>
  <w:num w:numId="23">
    <w:abstractNumId w:val="27"/>
  </w:num>
  <w:num w:numId="24">
    <w:abstractNumId w:val="31"/>
  </w:num>
  <w:num w:numId="25">
    <w:abstractNumId w:val="32"/>
  </w:num>
  <w:num w:numId="26">
    <w:abstractNumId w:val="15"/>
  </w:num>
  <w:num w:numId="27">
    <w:abstractNumId w:val="17"/>
  </w:num>
  <w:num w:numId="28">
    <w:abstractNumId w:val="23"/>
  </w:num>
  <w:num w:numId="29">
    <w:abstractNumId w:val="0"/>
  </w:num>
  <w:num w:numId="30">
    <w:abstractNumId w:val="30"/>
  </w:num>
  <w:num w:numId="31">
    <w:abstractNumId w:val="3"/>
  </w:num>
  <w:num w:numId="32">
    <w:abstractNumId w:val="8"/>
  </w:num>
  <w:num w:numId="33">
    <w:abstractNumId w:val="33"/>
  </w:num>
  <w:num w:numId="34">
    <w:abstractNumId w:val="5"/>
  </w:num>
  <w:num w:numId="35">
    <w:abstractNumId w:val="21"/>
  </w:num>
  <w:num w:numId="36">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11"/>
    <w:rsid w:val="000005D1"/>
    <w:rsid w:val="00000CFF"/>
    <w:rsid w:val="00002047"/>
    <w:rsid w:val="00003921"/>
    <w:rsid w:val="0000452A"/>
    <w:rsid w:val="000064DC"/>
    <w:rsid w:val="00007B06"/>
    <w:rsid w:val="00007F8D"/>
    <w:rsid w:val="00010E57"/>
    <w:rsid w:val="00014321"/>
    <w:rsid w:val="000159E0"/>
    <w:rsid w:val="000168B1"/>
    <w:rsid w:val="000206AE"/>
    <w:rsid w:val="000216F2"/>
    <w:rsid w:val="000303BA"/>
    <w:rsid w:val="00037289"/>
    <w:rsid w:val="00041525"/>
    <w:rsid w:val="000425DB"/>
    <w:rsid w:val="0004288E"/>
    <w:rsid w:val="0004401F"/>
    <w:rsid w:val="00045047"/>
    <w:rsid w:val="00045378"/>
    <w:rsid w:val="00050D8D"/>
    <w:rsid w:val="0005142C"/>
    <w:rsid w:val="0005233D"/>
    <w:rsid w:val="00052F83"/>
    <w:rsid w:val="000563D1"/>
    <w:rsid w:val="00060403"/>
    <w:rsid w:val="00060DD1"/>
    <w:rsid w:val="00061E5C"/>
    <w:rsid w:val="000652E4"/>
    <w:rsid w:val="000664E9"/>
    <w:rsid w:val="00066862"/>
    <w:rsid w:val="0006706B"/>
    <w:rsid w:val="00067A92"/>
    <w:rsid w:val="00070CF4"/>
    <w:rsid w:val="0007401E"/>
    <w:rsid w:val="000765FA"/>
    <w:rsid w:val="00076A3D"/>
    <w:rsid w:val="00077E5B"/>
    <w:rsid w:val="00077FE0"/>
    <w:rsid w:val="00080332"/>
    <w:rsid w:val="00082E19"/>
    <w:rsid w:val="0008346E"/>
    <w:rsid w:val="00087842"/>
    <w:rsid w:val="00094022"/>
    <w:rsid w:val="0009601C"/>
    <w:rsid w:val="000A6B3E"/>
    <w:rsid w:val="000B1BD0"/>
    <w:rsid w:val="000B3E37"/>
    <w:rsid w:val="000B5342"/>
    <w:rsid w:val="000B66E8"/>
    <w:rsid w:val="000B74B0"/>
    <w:rsid w:val="000C02F6"/>
    <w:rsid w:val="000C25AE"/>
    <w:rsid w:val="000C605F"/>
    <w:rsid w:val="000C75B4"/>
    <w:rsid w:val="000D3CDA"/>
    <w:rsid w:val="000D40A7"/>
    <w:rsid w:val="000D615C"/>
    <w:rsid w:val="000E0192"/>
    <w:rsid w:val="000E07A4"/>
    <w:rsid w:val="000E17A2"/>
    <w:rsid w:val="000F298A"/>
    <w:rsid w:val="000F74ED"/>
    <w:rsid w:val="00100305"/>
    <w:rsid w:val="00100D1D"/>
    <w:rsid w:val="00101B20"/>
    <w:rsid w:val="00106599"/>
    <w:rsid w:val="0010718D"/>
    <w:rsid w:val="00111606"/>
    <w:rsid w:val="0011193F"/>
    <w:rsid w:val="001156A8"/>
    <w:rsid w:val="00115950"/>
    <w:rsid w:val="00117EB4"/>
    <w:rsid w:val="00121AA8"/>
    <w:rsid w:val="00122314"/>
    <w:rsid w:val="001263C2"/>
    <w:rsid w:val="00126440"/>
    <w:rsid w:val="00131B1F"/>
    <w:rsid w:val="00133AA4"/>
    <w:rsid w:val="00137A49"/>
    <w:rsid w:val="0014064D"/>
    <w:rsid w:val="001461DB"/>
    <w:rsid w:val="00146839"/>
    <w:rsid w:val="00153C77"/>
    <w:rsid w:val="001545E3"/>
    <w:rsid w:val="001563A5"/>
    <w:rsid w:val="00156703"/>
    <w:rsid w:val="00157E8B"/>
    <w:rsid w:val="00160591"/>
    <w:rsid w:val="00161266"/>
    <w:rsid w:val="001621BD"/>
    <w:rsid w:val="00164C3E"/>
    <w:rsid w:val="00165116"/>
    <w:rsid w:val="00166929"/>
    <w:rsid w:val="0017038C"/>
    <w:rsid w:val="00171328"/>
    <w:rsid w:val="00171443"/>
    <w:rsid w:val="00172492"/>
    <w:rsid w:val="00173D6C"/>
    <w:rsid w:val="0017439C"/>
    <w:rsid w:val="0017475B"/>
    <w:rsid w:val="00176D99"/>
    <w:rsid w:val="001772E2"/>
    <w:rsid w:val="001847EC"/>
    <w:rsid w:val="001848A9"/>
    <w:rsid w:val="001871AE"/>
    <w:rsid w:val="00187DA1"/>
    <w:rsid w:val="0019081D"/>
    <w:rsid w:val="0019244B"/>
    <w:rsid w:val="0019692C"/>
    <w:rsid w:val="00197295"/>
    <w:rsid w:val="001A15AA"/>
    <w:rsid w:val="001A16BE"/>
    <w:rsid w:val="001A2914"/>
    <w:rsid w:val="001A4D93"/>
    <w:rsid w:val="001A6C58"/>
    <w:rsid w:val="001A6F4D"/>
    <w:rsid w:val="001A7B85"/>
    <w:rsid w:val="001B2DD2"/>
    <w:rsid w:val="001B36B0"/>
    <w:rsid w:val="001B5E8A"/>
    <w:rsid w:val="001B7334"/>
    <w:rsid w:val="001B7F9B"/>
    <w:rsid w:val="001C2621"/>
    <w:rsid w:val="001C383E"/>
    <w:rsid w:val="001C5BFA"/>
    <w:rsid w:val="001C695E"/>
    <w:rsid w:val="001D06B2"/>
    <w:rsid w:val="001D0B28"/>
    <w:rsid w:val="001D3D52"/>
    <w:rsid w:val="001D4BF8"/>
    <w:rsid w:val="001D583F"/>
    <w:rsid w:val="001D78A4"/>
    <w:rsid w:val="001D7CD5"/>
    <w:rsid w:val="001E01A7"/>
    <w:rsid w:val="001E1218"/>
    <w:rsid w:val="001E1285"/>
    <w:rsid w:val="001E227D"/>
    <w:rsid w:val="001E2298"/>
    <w:rsid w:val="001E2387"/>
    <w:rsid w:val="001E4591"/>
    <w:rsid w:val="001E72B8"/>
    <w:rsid w:val="001F0CED"/>
    <w:rsid w:val="001F25B6"/>
    <w:rsid w:val="001F2741"/>
    <w:rsid w:val="001F708F"/>
    <w:rsid w:val="00200A63"/>
    <w:rsid w:val="00201CC6"/>
    <w:rsid w:val="00205F1C"/>
    <w:rsid w:val="002069F9"/>
    <w:rsid w:val="0020707D"/>
    <w:rsid w:val="002073B5"/>
    <w:rsid w:val="0021302C"/>
    <w:rsid w:val="0021409B"/>
    <w:rsid w:val="0021640C"/>
    <w:rsid w:val="00216ABE"/>
    <w:rsid w:val="00222E7B"/>
    <w:rsid w:val="00223B5D"/>
    <w:rsid w:val="00225051"/>
    <w:rsid w:val="0023351D"/>
    <w:rsid w:val="00235183"/>
    <w:rsid w:val="002374E1"/>
    <w:rsid w:val="00241B14"/>
    <w:rsid w:val="00244F29"/>
    <w:rsid w:val="0024544A"/>
    <w:rsid w:val="00245663"/>
    <w:rsid w:val="00247120"/>
    <w:rsid w:val="002505BA"/>
    <w:rsid w:val="0025104A"/>
    <w:rsid w:val="00252BB5"/>
    <w:rsid w:val="00253451"/>
    <w:rsid w:val="00255A10"/>
    <w:rsid w:val="0025687E"/>
    <w:rsid w:val="00262087"/>
    <w:rsid w:val="00266086"/>
    <w:rsid w:val="00267928"/>
    <w:rsid w:val="002701AF"/>
    <w:rsid w:val="00270717"/>
    <w:rsid w:val="00270A70"/>
    <w:rsid w:val="00271FB4"/>
    <w:rsid w:val="00273406"/>
    <w:rsid w:val="002734C8"/>
    <w:rsid w:val="00275E58"/>
    <w:rsid w:val="00277327"/>
    <w:rsid w:val="00277400"/>
    <w:rsid w:val="002779EB"/>
    <w:rsid w:val="00280841"/>
    <w:rsid w:val="00281AD3"/>
    <w:rsid w:val="00281EFF"/>
    <w:rsid w:val="00282497"/>
    <w:rsid w:val="00284195"/>
    <w:rsid w:val="00286765"/>
    <w:rsid w:val="002873B2"/>
    <w:rsid w:val="00291E38"/>
    <w:rsid w:val="002921DA"/>
    <w:rsid w:val="00292666"/>
    <w:rsid w:val="0029279B"/>
    <w:rsid w:val="00292E5F"/>
    <w:rsid w:val="00294EB5"/>
    <w:rsid w:val="002978E6"/>
    <w:rsid w:val="00297E84"/>
    <w:rsid w:val="002A03C8"/>
    <w:rsid w:val="002A278B"/>
    <w:rsid w:val="002A3A4A"/>
    <w:rsid w:val="002A423D"/>
    <w:rsid w:val="002A4EDC"/>
    <w:rsid w:val="002A5E4E"/>
    <w:rsid w:val="002A7913"/>
    <w:rsid w:val="002B0BCE"/>
    <w:rsid w:val="002B1B9E"/>
    <w:rsid w:val="002B64BA"/>
    <w:rsid w:val="002B68AF"/>
    <w:rsid w:val="002C0391"/>
    <w:rsid w:val="002C3059"/>
    <w:rsid w:val="002C30B5"/>
    <w:rsid w:val="002C45C6"/>
    <w:rsid w:val="002D5AB1"/>
    <w:rsid w:val="002D725B"/>
    <w:rsid w:val="002E0E33"/>
    <w:rsid w:val="002E0F18"/>
    <w:rsid w:val="002E21A5"/>
    <w:rsid w:val="002E54B2"/>
    <w:rsid w:val="002E6DCC"/>
    <w:rsid w:val="002F2DFA"/>
    <w:rsid w:val="002F4530"/>
    <w:rsid w:val="002F6428"/>
    <w:rsid w:val="0030010C"/>
    <w:rsid w:val="00302FD8"/>
    <w:rsid w:val="00303D63"/>
    <w:rsid w:val="0030642B"/>
    <w:rsid w:val="00307AA9"/>
    <w:rsid w:val="00307E1D"/>
    <w:rsid w:val="00313358"/>
    <w:rsid w:val="0031428E"/>
    <w:rsid w:val="0031543F"/>
    <w:rsid w:val="00315D49"/>
    <w:rsid w:val="00321587"/>
    <w:rsid w:val="00321C5B"/>
    <w:rsid w:val="00326C51"/>
    <w:rsid w:val="0032793A"/>
    <w:rsid w:val="0033015C"/>
    <w:rsid w:val="003301B3"/>
    <w:rsid w:val="0033022B"/>
    <w:rsid w:val="00334952"/>
    <w:rsid w:val="003349E4"/>
    <w:rsid w:val="00336287"/>
    <w:rsid w:val="00341EB1"/>
    <w:rsid w:val="00344C39"/>
    <w:rsid w:val="00345474"/>
    <w:rsid w:val="003500D4"/>
    <w:rsid w:val="00356EF6"/>
    <w:rsid w:val="003574C9"/>
    <w:rsid w:val="00360316"/>
    <w:rsid w:val="00360600"/>
    <w:rsid w:val="00361BE2"/>
    <w:rsid w:val="00362F17"/>
    <w:rsid w:val="003719D2"/>
    <w:rsid w:val="003730A9"/>
    <w:rsid w:val="0037322E"/>
    <w:rsid w:val="00381267"/>
    <w:rsid w:val="00381BCB"/>
    <w:rsid w:val="00383AFE"/>
    <w:rsid w:val="003856B2"/>
    <w:rsid w:val="00386CA5"/>
    <w:rsid w:val="003924A1"/>
    <w:rsid w:val="0039501C"/>
    <w:rsid w:val="003959DA"/>
    <w:rsid w:val="003969E1"/>
    <w:rsid w:val="00396BD0"/>
    <w:rsid w:val="003A3D2F"/>
    <w:rsid w:val="003A4CF6"/>
    <w:rsid w:val="003A518F"/>
    <w:rsid w:val="003A6761"/>
    <w:rsid w:val="003A6A51"/>
    <w:rsid w:val="003B221F"/>
    <w:rsid w:val="003B4E38"/>
    <w:rsid w:val="003B5F1E"/>
    <w:rsid w:val="003B6C92"/>
    <w:rsid w:val="003C40E2"/>
    <w:rsid w:val="003C5D55"/>
    <w:rsid w:val="003C6541"/>
    <w:rsid w:val="003C79DE"/>
    <w:rsid w:val="003D287B"/>
    <w:rsid w:val="003D69AE"/>
    <w:rsid w:val="003D6ACF"/>
    <w:rsid w:val="003E72C6"/>
    <w:rsid w:val="003E7F19"/>
    <w:rsid w:val="003F0CDB"/>
    <w:rsid w:val="003F0DD5"/>
    <w:rsid w:val="003F1555"/>
    <w:rsid w:val="003F4E12"/>
    <w:rsid w:val="003F4E9B"/>
    <w:rsid w:val="0040091D"/>
    <w:rsid w:val="00400EF1"/>
    <w:rsid w:val="00402930"/>
    <w:rsid w:val="00402DC9"/>
    <w:rsid w:val="00404EFD"/>
    <w:rsid w:val="004052B4"/>
    <w:rsid w:val="00406337"/>
    <w:rsid w:val="00406450"/>
    <w:rsid w:val="00407513"/>
    <w:rsid w:val="0041156E"/>
    <w:rsid w:val="00412B18"/>
    <w:rsid w:val="00413989"/>
    <w:rsid w:val="004179A0"/>
    <w:rsid w:val="00425D04"/>
    <w:rsid w:val="004304DC"/>
    <w:rsid w:val="0043174D"/>
    <w:rsid w:val="004330D1"/>
    <w:rsid w:val="0043626F"/>
    <w:rsid w:val="0044056C"/>
    <w:rsid w:val="00440E3B"/>
    <w:rsid w:val="004428E6"/>
    <w:rsid w:val="00444F8B"/>
    <w:rsid w:val="00445306"/>
    <w:rsid w:val="004465F7"/>
    <w:rsid w:val="00451589"/>
    <w:rsid w:val="00453065"/>
    <w:rsid w:val="00454C80"/>
    <w:rsid w:val="00456F44"/>
    <w:rsid w:val="00460ACA"/>
    <w:rsid w:val="00462CB2"/>
    <w:rsid w:val="00470058"/>
    <w:rsid w:val="00471CB2"/>
    <w:rsid w:val="00472BFD"/>
    <w:rsid w:val="0047744D"/>
    <w:rsid w:val="00477911"/>
    <w:rsid w:val="00480662"/>
    <w:rsid w:val="004832E9"/>
    <w:rsid w:val="0048393E"/>
    <w:rsid w:val="00486427"/>
    <w:rsid w:val="00486D28"/>
    <w:rsid w:val="00487221"/>
    <w:rsid w:val="00490500"/>
    <w:rsid w:val="00491602"/>
    <w:rsid w:val="00492A75"/>
    <w:rsid w:val="00493BC0"/>
    <w:rsid w:val="00496228"/>
    <w:rsid w:val="004A0054"/>
    <w:rsid w:val="004A0220"/>
    <w:rsid w:val="004A198B"/>
    <w:rsid w:val="004A5038"/>
    <w:rsid w:val="004B2A67"/>
    <w:rsid w:val="004B50C0"/>
    <w:rsid w:val="004B7A09"/>
    <w:rsid w:val="004C0356"/>
    <w:rsid w:val="004C263C"/>
    <w:rsid w:val="004C310E"/>
    <w:rsid w:val="004C3134"/>
    <w:rsid w:val="004C36E2"/>
    <w:rsid w:val="004C4C37"/>
    <w:rsid w:val="004C55B1"/>
    <w:rsid w:val="004C6255"/>
    <w:rsid w:val="004D0522"/>
    <w:rsid w:val="004D4086"/>
    <w:rsid w:val="004D48F9"/>
    <w:rsid w:val="004D5808"/>
    <w:rsid w:val="004D5E77"/>
    <w:rsid w:val="004D766E"/>
    <w:rsid w:val="004E097C"/>
    <w:rsid w:val="004E2071"/>
    <w:rsid w:val="004E642E"/>
    <w:rsid w:val="004F0404"/>
    <w:rsid w:val="004F04D0"/>
    <w:rsid w:val="004F16EF"/>
    <w:rsid w:val="004F1ECE"/>
    <w:rsid w:val="004F27E5"/>
    <w:rsid w:val="004F28A3"/>
    <w:rsid w:val="004F326C"/>
    <w:rsid w:val="004F3649"/>
    <w:rsid w:val="004F4DC9"/>
    <w:rsid w:val="005052EC"/>
    <w:rsid w:val="00511138"/>
    <w:rsid w:val="00512A7C"/>
    <w:rsid w:val="0051494B"/>
    <w:rsid w:val="00514D7D"/>
    <w:rsid w:val="00516314"/>
    <w:rsid w:val="005205C3"/>
    <w:rsid w:val="00520D74"/>
    <w:rsid w:val="00522083"/>
    <w:rsid w:val="0052456E"/>
    <w:rsid w:val="005264BB"/>
    <w:rsid w:val="0052788E"/>
    <w:rsid w:val="00531827"/>
    <w:rsid w:val="005332C1"/>
    <w:rsid w:val="00535268"/>
    <w:rsid w:val="00535BA7"/>
    <w:rsid w:val="005374C3"/>
    <w:rsid w:val="00540279"/>
    <w:rsid w:val="00542C56"/>
    <w:rsid w:val="00543E55"/>
    <w:rsid w:val="00544202"/>
    <w:rsid w:val="00552404"/>
    <w:rsid w:val="00553864"/>
    <w:rsid w:val="00555D85"/>
    <w:rsid w:val="00560234"/>
    <w:rsid w:val="005605F5"/>
    <w:rsid w:val="00560A48"/>
    <w:rsid w:val="005617A1"/>
    <w:rsid w:val="00565ACA"/>
    <w:rsid w:val="00572B1B"/>
    <w:rsid w:val="00573FA2"/>
    <w:rsid w:val="00574D46"/>
    <w:rsid w:val="005775C0"/>
    <w:rsid w:val="00580898"/>
    <w:rsid w:val="00582687"/>
    <w:rsid w:val="0058375C"/>
    <w:rsid w:val="005839F9"/>
    <w:rsid w:val="005851EC"/>
    <w:rsid w:val="005855BA"/>
    <w:rsid w:val="00590114"/>
    <w:rsid w:val="005934BF"/>
    <w:rsid w:val="00593AED"/>
    <w:rsid w:val="00593FD6"/>
    <w:rsid w:val="00594EFB"/>
    <w:rsid w:val="005A09D9"/>
    <w:rsid w:val="005A4051"/>
    <w:rsid w:val="005A4EB8"/>
    <w:rsid w:val="005A7813"/>
    <w:rsid w:val="005A78D5"/>
    <w:rsid w:val="005B072D"/>
    <w:rsid w:val="005B0D2F"/>
    <w:rsid w:val="005B1B33"/>
    <w:rsid w:val="005B44C5"/>
    <w:rsid w:val="005B56CA"/>
    <w:rsid w:val="005B6F94"/>
    <w:rsid w:val="005C04CC"/>
    <w:rsid w:val="005C1214"/>
    <w:rsid w:val="005C4532"/>
    <w:rsid w:val="005D15E1"/>
    <w:rsid w:val="005D1A94"/>
    <w:rsid w:val="005D3DFC"/>
    <w:rsid w:val="005D6708"/>
    <w:rsid w:val="005E5BCF"/>
    <w:rsid w:val="005E5E20"/>
    <w:rsid w:val="005E6D55"/>
    <w:rsid w:val="005F10C6"/>
    <w:rsid w:val="005F34BC"/>
    <w:rsid w:val="005F3F99"/>
    <w:rsid w:val="005F585F"/>
    <w:rsid w:val="005F73BF"/>
    <w:rsid w:val="006025A4"/>
    <w:rsid w:val="00602BAD"/>
    <w:rsid w:val="00602FB4"/>
    <w:rsid w:val="0060489E"/>
    <w:rsid w:val="00606138"/>
    <w:rsid w:val="0061380B"/>
    <w:rsid w:val="00614004"/>
    <w:rsid w:val="00615820"/>
    <w:rsid w:val="00616032"/>
    <w:rsid w:val="006222EE"/>
    <w:rsid w:val="00623C5F"/>
    <w:rsid w:val="00623DD7"/>
    <w:rsid w:val="00625BB0"/>
    <w:rsid w:val="00635382"/>
    <w:rsid w:val="0063583C"/>
    <w:rsid w:val="00636386"/>
    <w:rsid w:val="006366DC"/>
    <w:rsid w:val="006367C8"/>
    <w:rsid w:val="00636B1A"/>
    <w:rsid w:val="00642881"/>
    <w:rsid w:val="00644D20"/>
    <w:rsid w:val="00646FB8"/>
    <w:rsid w:val="00650586"/>
    <w:rsid w:val="006515EA"/>
    <w:rsid w:val="00655655"/>
    <w:rsid w:val="006600A2"/>
    <w:rsid w:val="00661CBA"/>
    <w:rsid w:val="00661E5B"/>
    <w:rsid w:val="00665006"/>
    <w:rsid w:val="006655EF"/>
    <w:rsid w:val="00665CEF"/>
    <w:rsid w:val="006669D4"/>
    <w:rsid w:val="00666C75"/>
    <w:rsid w:val="00670575"/>
    <w:rsid w:val="00670944"/>
    <w:rsid w:val="00674D54"/>
    <w:rsid w:val="00690AF3"/>
    <w:rsid w:val="00691AB8"/>
    <w:rsid w:val="00691B2B"/>
    <w:rsid w:val="0069341D"/>
    <w:rsid w:val="006939F4"/>
    <w:rsid w:val="00694DBA"/>
    <w:rsid w:val="006956FC"/>
    <w:rsid w:val="006979DC"/>
    <w:rsid w:val="006A040D"/>
    <w:rsid w:val="006A17C1"/>
    <w:rsid w:val="006A1C39"/>
    <w:rsid w:val="006A1E6B"/>
    <w:rsid w:val="006A312C"/>
    <w:rsid w:val="006A6ACA"/>
    <w:rsid w:val="006A7B53"/>
    <w:rsid w:val="006B338C"/>
    <w:rsid w:val="006B3652"/>
    <w:rsid w:val="006B43E2"/>
    <w:rsid w:val="006B4D2C"/>
    <w:rsid w:val="006B5F0D"/>
    <w:rsid w:val="006C2CAC"/>
    <w:rsid w:val="006C2DF0"/>
    <w:rsid w:val="006C6A94"/>
    <w:rsid w:val="006C6EC6"/>
    <w:rsid w:val="006D0660"/>
    <w:rsid w:val="006D1689"/>
    <w:rsid w:val="006D48C9"/>
    <w:rsid w:val="006D7566"/>
    <w:rsid w:val="006E0312"/>
    <w:rsid w:val="006E0854"/>
    <w:rsid w:val="006E0A53"/>
    <w:rsid w:val="006E2A40"/>
    <w:rsid w:val="006E60C6"/>
    <w:rsid w:val="006E6481"/>
    <w:rsid w:val="006F0148"/>
    <w:rsid w:val="006F38F7"/>
    <w:rsid w:val="006F41B9"/>
    <w:rsid w:val="006F454A"/>
    <w:rsid w:val="006F71F6"/>
    <w:rsid w:val="006F7DD3"/>
    <w:rsid w:val="00701459"/>
    <w:rsid w:val="007025A1"/>
    <w:rsid w:val="00705662"/>
    <w:rsid w:val="00705D1B"/>
    <w:rsid w:val="00706265"/>
    <w:rsid w:val="00707AAF"/>
    <w:rsid w:val="007102F1"/>
    <w:rsid w:val="00711AC5"/>
    <w:rsid w:val="00714822"/>
    <w:rsid w:val="00721866"/>
    <w:rsid w:val="00723415"/>
    <w:rsid w:val="007250F3"/>
    <w:rsid w:val="00725ABE"/>
    <w:rsid w:val="00725E3A"/>
    <w:rsid w:val="00732411"/>
    <w:rsid w:val="007334C9"/>
    <w:rsid w:val="0073652F"/>
    <w:rsid w:val="007407C9"/>
    <w:rsid w:val="007420D3"/>
    <w:rsid w:val="00742281"/>
    <w:rsid w:val="00743247"/>
    <w:rsid w:val="0074364B"/>
    <w:rsid w:val="0074440D"/>
    <w:rsid w:val="00746A32"/>
    <w:rsid w:val="007478EC"/>
    <w:rsid w:val="007526A7"/>
    <w:rsid w:val="007527E1"/>
    <w:rsid w:val="0075374E"/>
    <w:rsid w:val="00754932"/>
    <w:rsid w:val="00755556"/>
    <w:rsid w:val="0075599C"/>
    <w:rsid w:val="00756505"/>
    <w:rsid w:val="007569F9"/>
    <w:rsid w:val="0075705A"/>
    <w:rsid w:val="007600B7"/>
    <w:rsid w:val="00761264"/>
    <w:rsid w:val="00762CFA"/>
    <w:rsid w:val="007721D1"/>
    <w:rsid w:val="0077423F"/>
    <w:rsid w:val="00784706"/>
    <w:rsid w:val="00786EF9"/>
    <w:rsid w:val="00787683"/>
    <w:rsid w:val="00794A53"/>
    <w:rsid w:val="00795B5F"/>
    <w:rsid w:val="00796B08"/>
    <w:rsid w:val="007A1B99"/>
    <w:rsid w:val="007A55D0"/>
    <w:rsid w:val="007A5C46"/>
    <w:rsid w:val="007A7141"/>
    <w:rsid w:val="007A769A"/>
    <w:rsid w:val="007A77FB"/>
    <w:rsid w:val="007B4293"/>
    <w:rsid w:val="007B51BE"/>
    <w:rsid w:val="007B5748"/>
    <w:rsid w:val="007B67C0"/>
    <w:rsid w:val="007C0D9E"/>
    <w:rsid w:val="007C2B9A"/>
    <w:rsid w:val="007C54C7"/>
    <w:rsid w:val="007C6671"/>
    <w:rsid w:val="007C66E3"/>
    <w:rsid w:val="007C741D"/>
    <w:rsid w:val="007D0751"/>
    <w:rsid w:val="007D1468"/>
    <w:rsid w:val="007D1DBD"/>
    <w:rsid w:val="007D3955"/>
    <w:rsid w:val="007D7BD8"/>
    <w:rsid w:val="007E00C2"/>
    <w:rsid w:val="007E0F7D"/>
    <w:rsid w:val="007E1675"/>
    <w:rsid w:val="007E1A31"/>
    <w:rsid w:val="007E1E42"/>
    <w:rsid w:val="007E1FC3"/>
    <w:rsid w:val="007E5448"/>
    <w:rsid w:val="007E62C5"/>
    <w:rsid w:val="007F0669"/>
    <w:rsid w:val="007F0939"/>
    <w:rsid w:val="007F24AC"/>
    <w:rsid w:val="007F2801"/>
    <w:rsid w:val="007F3DB9"/>
    <w:rsid w:val="007F54D3"/>
    <w:rsid w:val="007F771B"/>
    <w:rsid w:val="0080039A"/>
    <w:rsid w:val="00801233"/>
    <w:rsid w:val="008048FF"/>
    <w:rsid w:val="00805C30"/>
    <w:rsid w:val="00806C8A"/>
    <w:rsid w:val="008104CB"/>
    <w:rsid w:val="00812AFE"/>
    <w:rsid w:val="008153F6"/>
    <w:rsid w:val="00815924"/>
    <w:rsid w:val="00815B65"/>
    <w:rsid w:val="00815BD0"/>
    <w:rsid w:val="008170E7"/>
    <w:rsid w:val="00817F54"/>
    <w:rsid w:val="00821401"/>
    <w:rsid w:val="00821E27"/>
    <w:rsid w:val="00821EEF"/>
    <w:rsid w:val="00821F10"/>
    <w:rsid w:val="00824E62"/>
    <w:rsid w:val="0082514A"/>
    <w:rsid w:val="0082784E"/>
    <w:rsid w:val="0083082E"/>
    <w:rsid w:val="00831F4E"/>
    <w:rsid w:val="00833749"/>
    <w:rsid w:val="00835F98"/>
    <w:rsid w:val="00836152"/>
    <w:rsid w:val="00837227"/>
    <w:rsid w:val="00841155"/>
    <w:rsid w:val="00843756"/>
    <w:rsid w:val="00844391"/>
    <w:rsid w:val="008456FE"/>
    <w:rsid w:val="008458D6"/>
    <w:rsid w:val="0084756F"/>
    <w:rsid w:val="00851E99"/>
    <w:rsid w:val="008554A3"/>
    <w:rsid w:val="00855BDB"/>
    <w:rsid w:val="008577AE"/>
    <w:rsid w:val="0086067B"/>
    <w:rsid w:val="008610DA"/>
    <w:rsid w:val="00862235"/>
    <w:rsid w:val="00870328"/>
    <w:rsid w:val="00870DEE"/>
    <w:rsid w:val="00874262"/>
    <w:rsid w:val="008750A3"/>
    <w:rsid w:val="00875A9C"/>
    <w:rsid w:val="0087654C"/>
    <w:rsid w:val="0088330D"/>
    <w:rsid w:val="00883942"/>
    <w:rsid w:val="00883984"/>
    <w:rsid w:val="008846E7"/>
    <w:rsid w:val="00884983"/>
    <w:rsid w:val="008878CC"/>
    <w:rsid w:val="008916AA"/>
    <w:rsid w:val="008924B5"/>
    <w:rsid w:val="00892BD7"/>
    <w:rsid w:val="00892CA6"/>
    <w:rsid w:val="008947B5"/>
    <w:rsid w:val="008976AB"/>
    <w:rsid w:val="008A08EF"/>
    <w:rsid w:val="008A172D"/>
    <w:rsid w:val="008A65F6"/>
    <w:rsid w:val="008A769F"/>
    <w:rsid w:val="008B2EC6"/>
    <w:rsid w:val="008C1C5F"/>
    <w:rsid w:val="008C1CE0"/>
    <w:rsid w:val="008C280F"/>
    <w:rsid w:val="008C36DC"/>
    <w:rsid w:val="008C5970"/>
    <w:rsid w:val="008C5B25"/>
    <w:rsid w:val="008C7CB1"/>
    <w:rsid w:val="008D0600"/>
    <w:rsid w:val="008D1F7D"/>
    <w:rsid w:val="008D2C20"/>
    <w:rsid w:val="008D32A4"/>
    <w:rsid w:val="008D7197"/>
    <w:rsid w:val="008D7506"/>
    <w:rsid w:val="008E403C"/>
    <w:rsid w:val="008E4581"/>
    <w:rsid w:val="008E4D82"/>
    <w:rsid w:val="008E4F57"/>
    <w:rsid w:val="008E5C79"/>
    <w:rsid w:val="008E5E40"/>
    <w:rsid w:val="008E7B71"/>
    <w:rsid w:val="008F006B"/>
    <w:rsid w:val="008F2D49"/>
    <w:rsid w:val="008F3E11"/>
    <w:rsid w:val="00906897"/>
    <w:rsid w:val="00907AB4"/>
    <w:rsid w:val="00910725"/>
    <w:rsid w:val="00910F6B"/>
    <w:rsid w:val="009113FB"/>
    <w:rsid w:val="009118A5"/>
    <w:rsid w:val="00921E8B"/>
    <w:rsid w:val="009228E0"/>
    <w:rsid w:val="009228E9"/>
    <w:rsid w:val="00925F76"/>
    <w:rsid w:val="00926008"/>
    <w:rsid w:val="00926CB5"/>
    <w:rsid w:val="00927A48"/>
    <w:rsid w:val="00931CE8"/>
    <w:rsid w:val="009323B3"/>
    <w:rsid w:val="009325C7"/>
    <w:rsid w:val="00933052"/>
    <w:rsid w:val="00933B3D"/>
    <w:rsid w:val="00934873"/>
    <w:rsid w:val="009351F2"/>
    <w:rsid w:val="009355EF"/>
    <w:rsid w:val="009355F2"/>
    <w:rsid w:val="00935701"/>
    <w:rsid w:val="0093616B"/>
    <w:rsid w:val="009408A7"/>
    <w:rsid w:val="00940994"/>
    <w:rsid w:val="00940E2C"/>
    <w:rsid w:val="00942A41"/>
    <w:rsid w:val="00942C97"/>
    <w:rsid w:val="00942FEC"/>
    <w:rsid w:val="00943587"/>
    <w:rsid w:val="00945548"/>
    <w:rsid w:val="00950FCA"/>
    <w:rsid w:val="009548E1"/>
    <w:rsid w:val="00954EA3"/>
    <w:rsid w:val="009575B0"/>
    <w:rsid w:val="00960E75"/>
    <w:rsid w:val="00963547"/>
    <w:rsid w:val="00964293"/>
    <w:rsid w:val="00965012"/>
    <w:rsid w:val="00967595"/>
    <w:rsid w:val="00974103"/>
    <w:rsid w:val="00974BEF"/>
    <w:rsid w:val="00976270"/>
    <w:rsid w:val="00976286"/>
    <w:rsid w:val="00977398"/>
    <w:rsid w:val="00977C7B"/>
    <w:rsid w:val="00980FA6"/>
    <w:rsid w:val="00981337"/>
    <w:rsid w:val="00983534"/>
    <w:rsid w:val="009852F5"/>
    <w:rsid w:val="00991610"/>
    <w:rsid w:val="00991923"/>
    <w:rsid w:val="00994373"/>
    <w:rsid w:val="00994557"/>
    <w:rsid w:val="00995086"/>
    <w:rsid w:val="00995E30"/>
    <w:rsid w:val="009978AE"/>
    <w:rsid w:val="009A1A16"/>
    <w:rsid w:val="009A1D0C"/>
    <w:rsid w:val="009A2EB9"/>
    <w:rsid w:val="009A30AA"/>
    <w:rsid w:val="009A654C"/>
    <w:rsid w:val="009B2A5A"/>
    <w:rsid w:val="009B59BA"/>
    <w:rsid w:val="009B661F"/>
    <w:rsid w:val="009C0DC6"/>
    <w:rsid w:val="009C175B"/>
    <w:rsid w:val="009C5052"/>
    <w:rsid w:val="009C6180"/>
    <w:rsid w:val="009C6515"/>
    <w:rsid w:val="009C6C83"/>
    <w:rsid w:val="009C7729"/>
    <w:rsid w:val="009D0155"/>
    <w:rsid w:val="009D092E"/>
    <w:rsid w:val="009D1B89"/>
    <w:rsid w:val="009D26C5"/>
    <w:rsid w:val="009D3381"/>
    <w:rsid w:val="009D3F7B"/>
    <w:rsid w:val="009D3F89"/>
    <w:rsid w:val="009D685C"/>
    <w:rsid w:val="009D7646"/>
    <w:rsid w:val="009D770B"/>
    <w:rsid w:val="009E0279"/>
    <w:rsid w:val="009E2A9B"/>
    <w:rsid w:val="009E48B0"/>
    <w:rsid w:val="009E4B68"/>
    <w:rsid w:val="009E52D5"/>
    <w:rsid w:val="009E54D2"/>
    <w:rsid w:val="009E5D90"/>
    <w:rsid w:val="009F3831"/>
    <w:rsid w:val="009F396A"/>
    <w:rsid w:val="009F6E52"/>
    <w:rsid w:val="009F70AD"/>
    <w:rsid w:val="009F7F91"/>
    <w:rsid w:val="00A04BCA"/>
    <w:rsid w:val="00A07ACB"/>
    <w:rsid w:val="00A07DD9"/>
    <w:rsid w:val="00A10E4D"/>
    <w:rsid w:val="00A11392"/>
    <w:rsid w:val="00A1197E"/>
    <w:rsid w:val="00A12090"/>
    <w:rsid w:val="00A121CE"/>
    <w:rsid w:val="00A12822"/>
    <w:rsid w:val="00A177DB"/>
    <w:rsid w:val="00A209CE"/>
    <w:rsid w:val="00A2463D"/>
    <w:rsid w:val="00A247FE"/>
    <w:rsid w:val="00A2672A"/>
    <w:rsid w:val="00A306AD"/>
    <w:rsid w:val="00A31276"/>
    <w:rsid w:val="00A32FBD"/>
    <w:rsid w:val="00A33D8A"/>
    <w:rsid w:val="00A3413F"/>
    <w:rsid w:val="00A34190"/>
    <w:rsid w:val="00A35691"/>
    <w:rsid w:val="00A3578B"/>
    <w:rsid w:val="00A37012"/>
    <w:rsid w:val="00A37A1C"/>
    <w:rsid w:val="00A43960"/>
    <w:rsid w:val="00A43B80"/>
    <w:rsid w:val="00A508D1"/>
    <w:rsid w:val="00A57638"/>
    <w:rsid w:val="00A57730"/>
    <w:rsid w:val="00A60069"/>
    <w:rsid w:val="00A61618"/>
    <w:rsid w:val="00A65318"/>
    <w:rsid w:val="00A66885"/>
    <w:rsid w:val="00A7150C"/>
    <w:rsid w:val="00A74886"/>
    <w:rsid w:val="00A75256"/>
    <w:rsid w:val="00A76606"/>
    <w:rsid w:val="00A767A0"/>
    <w:rsid w:val="00A80AD5"/>
    <w:rsid w:val="00A80AF9"/>
    <w:rsid w:val="00A8550A"/>
    <w:rsid w:val="00A86772"/>
    <w:rsid w:val="00A87BEB"/>
    <w:rsid w:val="00A90572"/>
    <w:rsid w:val="00A92A00"/>
    <w:rsid w:val="00A93656"/>
    <w:rsid w:val="00A9382D"/>
    <w:rsid w:val="00A940D1"/>
    <w:rsid w:val="00A95A5E"/>
    <w:rsid w:val="00A95B44"/>
    <w:rsid w:val="00A960E3"/>
    <w:rsid w:val="00AA08E6"/>
    <w:rsid w:val="00AA3182"/>
    <w:rsid w:val="00AA6163"/>
    <w:rsid w:val="00AA77F5"/>
    <w:rsid w:val="00AA78BD"/>
    <w:rsid w:val="00AB2722"/>
    <w:rsid w:val="00AB7CB8"/>
    <w:rsid w:val="00AC33F6"/>
    <w:rsid w:val="00AC448B"/>
    <w:rsid w:val="00AD009F"/>
    <w:rsid w:val="00AD14E6"/>
    <w:rsid w:val="00AD1E36"/>
    <w:rsid w:val="00AD3529"/>
    <w:rsid w:val="00AD567D"/>
    <w:rsid w:val="00AD6713"/>
    <w:rsid w:val="00AD6FD9"/>
    <w:rsid w:val="00AE1B1C"/>
    <w:rsid w:val="00AE3E4D"/>
    <w:rsid w:val="00AE6136"/>
    <w:rsid w:val="00AE6259"/>
    <w:rsid w:val="00AE7821"/>
    <w:rsid w:val="00AF098E"/>
    <w:rsid w:val="00AF0F56"/>
    <w:rsid w:val="00AF23C0"/>
    <w:rsid w:val="00AF4C3C"/>
    <w:rsid w:val="00AF5EB2"/>
    <w:rsid w:val="00AF5FA0"/>
    <w:rsid w:val="00AF6744"/>
    <w:rsid w:val="00B00ACE"/>
    <w:rsid w:val="00B03B58"/>
    <w:rsid w:val="00B05067"/>
    <w:rsid w:val="00B05F88"/>
    <w:rsid w:val="00B06158"/>
    <w:rsid w:val="00B07149"/>
    <w:rsid w:val="00B1101C"/>
    <w:rsid w:val="00B12AB3"/>
    <w:rsid w:val="00B13093"/>
    <w:rsid w:val="00B13688"/>
    <w:rsid w:val="00B1605E"/>
    <w:rsid w:val="00B2016D"/>
    <w:rsid w:val="00B222D3"/>
    <w:rsid w:val="00B23122"/>
    <w:rsid w:val="00B265B2"/>
    <w:rsid w:val="00B30F99"/>
    <w:rsid w:val="00B35254"/>
    <w:rsid w:val="00B3740E"/>
    <w:rsid w:val="00B40CBD"/>
    <w:rsid w:val="00B4376F"/>
    <w:rsid w:val="00B51253"/>
    <w:rsid w:val="00B52A46"/>
    <w:rsid w:val="00B55BD8"/>
    <w:rsid w:val="00B57229"/>
    <w:rsid w:val="00B603C3"/>
    <w:rsid w:val="00B62175"/>
    <w:rsid w:val="00B63DA1"/>
    <w:rsid w:val="00B66598"/>
    <w:rsid w:val="00B67B6C"/>
    <w:rsid w:val="00B7496B"/>
    <w:rsid w:val="00B769E1"/>
    <w:rsid w:val="00B8310A"/>
    <w:rsid w:val="00B837B9"/>
    <w:rsid w:val="00B83916"/>
    <w:rsid w:val="00B8486A"/>
    <w:rsid w:val="00B84E87"/>
    <w:rsid w:val="00B901C0"/>
    <w:rsid w:val="00B9278E"/>
    <w:rsid w:val="00B94124"/>
    <w:rsid w:val="00B95844"/>
    <w:rsid w:val="00B95D0C"/>
    <w:rsid w:val="00BA3091"/>
    <w:rsid w:val="00BB7327"/>
    <w:rsid w:val="00BC00DB"/>
    <w:rsid w:val="00BC10D0"/>
    <w:rsid w:val="00BC582D"/>
    <w:rsid w:val="00BC5ED7"/>
    <w:rsid w:val="00BC6A2A"/>
    <w:rsid w:val="00BC6EC2"/>
    <w:rsid w:val="00BD0A51"/>
    <w:rsid w:val="00BD1EF7"/>
    <w:rsid w:val="00BD300D"/>
    <w:rsid w:val="00BD41C7"/>
    <w:rsid w:val="00BD5A43"/>
    <w:rsid w:val="00BD6D85"/>
    <w:rsid w:val="00BD750B"/>
    <w:rsid w:val="00BE0D96"/>
    <w:rsid w:val="00BE1406"/>
    <w:rsid w:val="00BE1A5D"/>
    <w:rsid w:val="00BE2006"/>
    <w:rsid w:val="00BE2504"/>
    <w:rsid w:val="00BE2A99"/>
    <w:rsid w:val="00BE3601"/>
    <w:rsid w:val="00BE6B95"/>
    <w:rsid w:val="00BE77B1"/>
    <w:rsid w:val="00BE7A7F"/>
    <w:rsid w:val="00BF3935"/>
    <w:rsid w:val="00BF5B60"/>
    <w:rsid w:val="00BF6307"/>
    <w:rsid w:val="00C01D8B"/>
    <w:rsid w:val="00C01F87"/>
    <w:rsid w:val="00C025C4"/>
    <w:rsid w:val="00C05BCA"/>
    <w:rsid w:val="00C07704"/>
    <w:rsid w:val="00C13015"/>
    <w:rsid w:val="00C14679"/>
    <w:rsid w:val="00C14C4D"/>
    <w:rsid w:val="00C169FF"/>
    <w:rsid w:val="00C2070C"/>
    <w:rsid w:val="00C22DC0"/>
    <w:rsid w:val="00C234CF"/>
    <w:rsid w:val="00C24697"/>
    <w:rsid w:val="00C25F8B"/>
    <w:rsid w:val="00C2727B"/>
    <w:rsid w:val="00C32C04"/>
    <w:rsid w:val="00C33E5A"/>
    <w:rsid w:val="00C4332C"/>
    <w:rsid w:val="00C44258"/>
    <w:rsid w:val="00C44D86"/>
    <w:rsid w:val="00C463DF"/>
    <w:rsid w:val="00C4654E"/>
    <w:rsid w:val="00C50D91"/>
    <w:rsid w:val="00C52E0C"/>
    <w:rsid w:val="00C54F00"/>
    <w:rsid w:val="00C56902"/>
    <w:rsid w:val="00C573CC"/>
    <w:rsid w:val="00C60013"/>
    <w:rsid w:val="00C60695"/>
    <w:rsid w:val="00C648C2"/>
    <w:rsid w:val="00C64C3A"/>
    <w:rsid w:val="00C667DD"/>
    <w:rsid w:val="00C66E71"/>
    <w:rsid w:val="00C67EF1"/>
    <w:rsid w:val="00C7133D"/>
    <w:rsid w:val="00C73168"/>
    <w:rsid w:val="00C73C7B"/>
    <w:rsid w:val="00C769AE"/>
    <w:rsid w:val="00C77491"/>
    <w:rsid w:val="00C8221E"/>
    <w:rsid w:val="00C86C65"/>
    <w:rsid w:val="00C87142"/>
    <w:rsid w:val="00C87E94"/>
    <w:rsid w:val="00C901A1"/>
    <w:rsid w:val="00C904FA"/>
    <w:rsid w:val="00C93A45"/>
    <w:rsid w:val="00C9635E"/>
    <w:rsid w:val="00C97F12"/>
    <w:rsid w:val="00CA0707"/>
    <w:rsid w:val="00CA0722"/>
    <w:rsid w:val="00CA0CA7"/>
    <w:rsid w:val="00CA3524"/>
    <w:rsid w:val="00CA68D0"/>
    <w:rsid w:val="00CA6B93"/>
    <w:rsid w:val="00CA6F04"/>
    <w:rsid w:val="00CB154D"/>
    <w:rsid w:val="00CB3455"/>
    <w:rsid w:val="00CB35E3"/>
    <w:rsid w:val="00CB3982"/>
    <w:rsid w:val="00CB6527"/>
    <w:rsid w:val="00CB6D8C"/>
    <w:rsid w:val="00CB708E"/>
    <w:rsid w:val="00CC10C9"/>
    <w:rsid w:val="00CC17CB"/>
    <w:rsid w:val="00CC37C4"/>
    <w:rsid w:val="00CC39C6"/>
    <w:rsid w:val="00CC39F2"/>
    <w:rsid w:val="00CC535E"/>
    <w:rsid w:val="00CC57F9"/>
    <w:rsid w:val="00CC5AE7"/>
    <w:rsid w:val="00CC5DBC"/>
    <w:rsid w:val="00CC763C"/>
    <w:rsid w:val="00CD03CB"/>
    <w:rsid w:val="00CD0E5D"/>
    <w:rsid w:val="00CD128F"/>
    <w:rsid w:val="00CD1303"/>
    <w:rsid w:val="00CD2047"/>
    <w:rsid w:val="00CD376A"/>
    <w:rsid w:val="00CD3D51"/>
    <w:rsid w:val="00CD6160"/>
    <w:rsid w:val="00CE344C"/>
    <w:rsid w:val="00CE383F"/>
    <w:rsid w:val="00CF0749"/>
    <w:rsid w:val="00CF13DC"/>
    <w:rsid w:val="00CF1545"/>
    <w:rsid w:val="00CF2566"/>
    <w:rsid w:val="00CF38B8"/>
    <w:rsid w:val="00CF6E9B"/>
    <w:rsid w:val="00D045E4"/>
    <w:rsid w:val="00D04E22"/>
    <w:rsid w:val="00D1211B"/>
    <w:rsid w:val="00D1375D"/>
    <w:rsid w:val="00D13D82"/>
    <w:rsid w:val="00D15C40"/>
    <w:rsid w:val="00D179B0"/>
    <w:rsid w:val="00D17AB6"/>
    <w:rsid w:val="00D20421"/>
    <w:rsid w:val="00D2211C"/>
    <w:rsid w:val="00D23048"/>
    <w:rsid w:val="00D232AC"/>
    <w:rsid w:val="00D24763"/>
    <w:rsid w:val="00D263BF"/>
    <w:rsid w:val="00D26F44"/>
    <w:rsid w:val="00D305C4"/>
    <w:rsid w:val="00D323DF"/>
    <w:rsid w:val="00D32CE9"/>
    <w:rsid w:val="00D333F9"/>
    <w:rsid w:val="00D349EA"/>
    <w:rsid w:val="00D364AC"/>
    <w:rsid w:val="00D42412"/>
    <w:rsid w:val="00D45D30"/>
    <w:rsid w:val="00D46FF5"/>
    <w:rsid w:val="00D50D39"/>
    <w:rsid w:val="00D519B2"/>
    <w:rsid w:val="00D52367"/>
    <w:rsid w:val="00D539F4"/>
    <w:rsid w:val="00D5420A"/>
    <w:rsid w:val="00D5506A"/>
    <w:rsid w:val="00D606B9"/>
    <w:rsid w:val="00D60AAE"/>
    <w:rsid w:val="00D61C4D"/>
    <w:rsid w:val="00D65E8D"/>
    <w:rsid w:val="00D722D6"/>
    <w:rsid w:val="00D7234D"/>
    <w:rsid w:val="00D73721"/>
    <w:rsid w:val="00D740D2"/>
    <w:rsid w:val="00D7467B"/>
    <w:rsid w:val="00D74DBD"/>
    <w:rsid w:val="00D801AA"/>
    <w:rsid w:val="00D83B2A"/>
    <w:rsid w:val="00D84363"/>
    <w:rsid w:val="00D84DBB"/>
    <w:rsid w:val="00D85CC4"/>
    <w:rsid w:val="00D86E80"/>
    <w:rsid w:val="00D92733"/>
    <w:rsid w:val="00D92A90"/>
    <w:rsid w:val="00D94681"/>
    <w:rsid w:val="00D96F2D"/>
    <w:rsid w:val="00DA03C4"/>
    <w:rsid w:val="00DA0809"/>
    <w:rsid w:val="00DA11BC"/>
    <w:rsid w:val="00DA231A"/>
    <w:rsid w:val="00DA3007"/>
    <w:rsid w:val="00DA4841"/>
    <w:rsid w:val="00DA5371"/>
    <w:rsid w:val="00DA68F4"/>
    <w:rsid w:val="00DB031F"/>
    <w:rsid w:val="00DB124A"/>
    <w:rsid w:val="00DB335C"/>
    <w:rsid w:val="00DB6D02"/>
    <w:rsid w:val="00DB75F2"/>
    <w:rsid w:val="00DC017A"/>
    <w:rsid w:val="00DC359F"/>
    <w:rsid w:val="00DC5F97"/>
    <w:rsid w:val="00DD3324"/>
    <w:rsid w:val="00DD6529"/>
    <w:rsid w:val="00DD68C2"/>
    <w:rsid w:val="00DD7638"/>
    <w:rsid w:val="00DD7FFE"/>
    <w:rsid w:val="00DE0F2E"/>
    <w:rsid w:val="00DE2070"/>
    <w:rsid w:val="00DE7845"/>
    <w:rsid w:val="00DF05E8"/>
    <w:rsid w:val="00DF12E0"/>
    <w:rsid w:val="00DF13A8"/>
    <w:rsid w:val="00DF1ED6"/>
    <w:rsid w:val="00DF2D28"/>
    <w:rsid w:val="00DF36BD"/>
    <w:rsid w:val="00DF3A89"/>
    <w:rsid w:val="00DF3EE7"/>
    <w:rsid w:val="00DF74EC"/>
    <w:rsid w:val="00E01C1D"/>
    <w:rsid w:val="00E02B14"/>
    <w:rsid w:val="00E02BA7"/>
    <w:rsid w:val="00E0333F"/>
    <w:rsid w:val="00E03599"/>
    <w:rsid w:val="00E04F82"/>
    <w:rsid w:val="00E05705"/>
    <w:rsid w:val="00E05AEB"/>
    <w:rsid w:val="00E06CF3"/>
    <w:rsid w:val="00E11285"/>
    <w:rsid w:val="00E11780"/>
    <w:rsid w:val="00E13CD2"/>
    <w:rsid w:val="00E15015"/>
    <w:rsid w:val="00E15D9B"/>
    <w:rsid w:val="00E175FB"/>
    <w:rsid w:val="00E201F0"/>
    <w:rsid w:val="00E20D99"/>
    <w:rsid w:val="00E2214B"/>
    <w:rsid w:val="00E2292B"/>
    <w:rsid w:val="00E232AE"/>
    <w:rsid w:val="00E25FB8"/>
    <w:rsid w:val="00E274A8"/>
    <w:rsid w:val="00E27A19"/>
    <w:rsid w:val="00E27CB8"/>
    <w:rsid w:val="00E37081"/>
    <w:rsid w:val="00E4032C"/>
    <w:rsid w:val="00E44531"/>
    <w:rsid w:val="00E44C90"/>
    <w:rsid w:val="00E4616B"/>
    <w:rsid w:val="00E468D6"/>
    <w:rsid w:val="00E4741D"/>
    <w:rsid w:val="00E52654"/>
    <w:rsid w:val="00E528EA"/>
    <w:rsid w:val="00E54165"/>
    <w:rsid w:val="00E54915"/>
    <w:rsid w:val="00E555D5"/>
    <w:rsid w:val="00E56870"/>
    <w:rsid w:val="00E57F35"/>
    <w:rsid w:val="00E6038C"/>
    <w:rsid w:val="00E617C8"/>
    <w:rsid w:val="00E654E1"/>
    <w:rsid w:val="00E665AA"/>
    <w:rsid w:val="00E67546"/>
    <w:rsid w:val="00E70AD3"/>
    <w:rsid w:val="00E72696"/>
    <w:rsid w:val="00E75355"/>
    <w:rsid w:val="00E7670D"/>
    <w:rsid w:val="00E7688C"/>
    <w:rsid w:val="00E77532"/>
    <w:rsid w:val="00E814FB"/>
    <w:rsid w:val="00E81C42"/>
    <w:rsid w:val="00E83087"/>
    <w:rsid w:val="00E841F2"/>
    <w:rsid w:val="00E84BF1"/>
    <w:rsid w:val="00E87704"/>
    <w:rsid w:val="00E90035"/>
    <w:rsid w:val="00E90C4E"/>
    <w:rsid w:val="00E91314"/>
    <w:rsid w:val="00E94C23"/>
    <w:rsid w:val="00E95C57"/>
    <w:rsid w:val="00EA47A3"/>
    <w:rsid w:val="00EA4E39"/>
    <w:rsid w:val="00EA56D4"/>
    <w:rsid w:val="00EA712A"/>
    <w:rsid w:val="00EA7DB1"/>
    <w:rsid w:val="00EB08CC"/>
    <w:rsid w:val="00EB3674"/>
    <w:rsid w:val="00EB6CC2"/>
    <w:rsid w:val="00EB7972"/>
    <w:rsid w:val="00EC11DE"/>
    <w:rsid w:val="00EC22B7"/>
    <w:rsid w:val="00EC23F6"/>
    <w:rsid w:val="00EC2676"/>
    <w:rsid w:val="00EC2B7D"/>
    <w:rsid w:val="00EC4E8B"/>
    <w:rsid w:val="00EC640A"/>
    <w:rsid w:val="00EC7427"/>
    <w:rsid w:val="00ED0A38"/>
    <w:rsid w:val="00ED0A97"/>
    <w:rsid w:val="00ED210A"/>
    <w:rsid w:val="00ED223A"/>
    <w:rsid w:val="00ED2CB6"/>
    <w:rsid w:val="00ED4078"/>
    <w:rsid w:val="00ED67AE"/>
    <w:rsid w:val="00EE24D2"/>
    <w:rsid w:val="00EE2959"/>
    <w:rsid w:val="00EE2B63"/>
    <w:rsid w:val="00EF04B7"/>
    <w:rsid w:val="00EF4439"/>
    <w:rsid w:val="00EF7AC7"/>
    <w:rsid w:val="00EF7E6B"/>
    <w:rsid w:val="00F14F3B"/>
    <w:rsid w:val="00F15B9A"/>
    <w:rsid w:val="00F15FE3"/>
    <w:rsid w:val="00F16C14"/>
    <w:rsid w:val="00F16FFB"/>
    <w:rsid w:val="00F2274E"/>
    <w:rsid w:val="00F22BA7"/>
    <w:rsid w:val="00F34F70"/>
    <w:rsid w:val="00F35BCF"/>
    <w:rsid w:val="00F50527"/>
    <w:rsid w:val="00F51C47"/>
    <w:rsid w:val="00F52D13"/>
    <w:rsid w:val="00F553FC"/>
    <w:rsid w:val="00F56A6A"/>
    <w:rsid w:val="00F6001A"/>
    <w:rsid w:val="00F61888"/>
    <w:rsid w:val="00F6770F"/>
    <w:rsid w:val="00F7111C"/>
    <w:rsid w:val="00F72A4A"/>
    <w:rsid w:val="00F73578"/>
    <w:rsid w:val="00F744C3"/>
    <w:rsid w:val="00F746DB"/>
    <w:rsid w:val="00F80E02"/>
    <w:rsid w:val="00F82842"/>
    <w:rsid w:val="00F82AC7"/>
    <w:rsid w:val="00F83DE9"/>
    <w:rsid w:val="00F8543D"/>
    <w:rsid w:val="00F87DCB"/>
    <w:rsid w:val="00F90587"/>
    <w:rsid w:val="00F92DC7"/>
    <w:rsid w:val="00F9332F"/>
    <w:rsid w:val="00F942CF"/>
    <w:rsid w:val="00F95FFE"/>
    <w:rsid w:val="00F972AE"/>
    <w:rsid w:val="00FA0F46"/>
    <w:rsid w:val="00FA1B7B"/>
    <w:rsid w:val="00FA4F4A"/>
    <w:rsid w:val="00FA4FC1"/>
    <w:rsid w:val="00FA5537"/>
    <w:rsid w:val="00FB03FD"/>
    <w:rsid w:val="00FB0B88"/>
    <w:rsid w:val="00FB7445"/>
    <w:rsid w:val="00FC01FB"/>
    <w:rsid w:val="00FC437A"/>
    <w:rsid w:val="00FC493F"/>
    <w:rsid w:val="00FC530C"/>
    <w:rsid w:val="00FC5510"/>
    <w:rsid w:val="00FD19AA"/>
    <w:rsid w:val="00FD477B"/>
    <w:rsid w:val="00FD56E2"/>
    <w:rsid w:val="00FD7F8B"/>
    <w:rsid w:val="00FE05E1"/>
    <w:rsid w:val="00FE60B9"/>
    <w:rsid w:val="00FF0B25"/>
    <w:rsid w:val="00FF24A8"/>
    <w:rsid w:val="00FF24DD"/>
    <w:rsid w:val="00FF4EF2"/>
    <w:rsid w:val="00FF4FC5"/>
    <w:rsid w:val="00FF74A8"/>
    <w:rsid w:val="00FF78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Document Map" w:uiPriority="0"/>
    <w:lsdException w:name="Table Grid" w:semiHidden="0" w:uiPriority="0" w:unhideWhenUsed="0"/>
    <w:lsdException w:name="Placeholder Text" w:semiHidden="0" w:uiPriority="62" w:unhideWhenUsed="0"/>
    <w:lsdException w:name="No Spacing" w:semiHidden="0" w:uiPriority="1" w:unhideWhenUsed="0" w:qFormat="1"/>
    <w:lsdException w:name="Light Shading" w:semiHidden="0" w:uiPriority="64" w:unhideWhenUsed="0"/>
    <w:lsdException w:name="Light List" w:semiHidden="0" w:uiPriority="65" w:unhideWhenUsed="0"/>
    <w:lsdException w:name="Light Grid" w:unhideWhenUsed="0"/>
    <w:lsdException w:name="Medium Shading 1" w:semiHidden="0"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72"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72" w:unhideWhenUsed="0"/>
    <w:lsdException w:name="Medium Shading 2 Accent 4" w:semiHidden="0" w:uiPriority="73"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5" w:unhideWhenUsed="0"/>
    <w:lsdException w:name="Colorful Shading Accent 4" w:semiHidden="0" w:uiPriority="66"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72" w:unhideWhenUsed="0"/>
    <w:lsdException w:name="Medium Shading 2 Accent 5" w:semiHidden="0" w:uiPriority="73"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66"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A1"/>
    <w:pPr>
      <w:widowControl w:val="0"/>
      <w:suppressAutoHyphens/>
    </w:pPr>
    <w:rPr>
      <w:rFonts w:ascii="Calibri" w:eastAsia="MS Mincho" w:hAnsi="Calibri"/>
      <w:color w:val="000000"/>
      <w:sz w:val="24"/>
      <w:szCs w:val="22"/>
    </w:rPr>
  </w:style>
  <w:style w:type="paragraph" w:styleId="Heading1">
    <w:name w:val="heading 1"/>
    <w:basedOn w:val="Normal"/>
    <w:next w:val="Normal"/>
    <w:link w:val="Heading1Char"/>
    <w:qFormat/>
    <w:rsid w:val="00F14F3B"/>
    <w:pPr>
      <w:widowControl/>
      <w:suppressAutoHyphens w:val="0"/>
      <w:spacing w:before="360" w:after="240" w:line="360" w:lineRule="exact"/>
      <w:outlineLvl w:val="0"/>
    </w:pPr>
    <w:rPr>
      <w:b/>
      <w:color w:val="007D57"/>
      <w:sz w:val="44"/>
    </w:rPr>
  </w:style>
  <w:style w:type="paragraph" w:styleId="Heading2">
    <w:name w:val="heading 2"/>
    <w:basedOn w:val="Normal"/>
    <w:next w:val="Normal"/>
    <w:link w:val="Heading2Char"/>
    <w:uiPriority w:val="9"/>
    <w:qFormat/>
    <w:rsid w:val="00F14F3B"/>
    <w:pPr>
      <w:widowControl/>
      <w:spacing w:before="240" w:after="120" w:line="360" w:lineRule="auto"/>
      <w:outlineLvl w:val="1"/>
    </w:pPr>
    <w:rPr>
      <w:b/>
      <w:color w:val="auto"/>
      <w:sz w:val="32"/>
    </w:rPr>
  </w:style>
  <w:style w:type="paragraph" w:styleId="Heading3">
    <w:name w:val="heading 3"/>
    <w:basedOn w:val="Normal"/>
    <w:next w:val="Normal"/>
    <w:link w:val="Heading3Char"/>
    <w:uiPriority w:val="9"/>
    <w:qFormat/>
    <w:rsid w:val="00E06CF3"/>
    <w:pPr>
      <w:keepNext/>
      <w:spacing w:before="240" w:after="240"/>
      <w:outlineLvl w:val="2"/>
    </w:pPr>
    <w:rPr>
      <w:bCs/>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B2B"/>
    <w:pPr>
      <w:tabs>
        <w:tab w:val="center" w:pos="4680"/>
        <w:tab w:val="right" w:pos="9360"/>
      </w:tabs>
    </w:pPr>
    <w:rPr>
      <w:rFonts w:ascii="Arial" w:hAnsi="Arial"/>
      <w:sz w:val="22"/>
      <w:szCs w:val="20"/>
    </w:rPr>
  </w:style>
  <w:style w:type="character" w:styleId="Strong">
    <w:name w:val="Strong"/>
    <w:uiPriority w:val="99"/>
    <w:qFormat/>
    <w:rsid w:val="003730A9"/>
    <w:rPr>
      <w:b/>
      <w:bCs/>
    </w:rPr>
  </w:style>
  <w:style w:type="character" w:styleId="PageNumber">
    <w:name w:val="page number"/>
    <w:uiPriority w:val="99"/>
    <w:rsid w:val="0088330D"/>
    <w:rPr>
      <w:rFonts w:ascii="Arial" w:hAnsi="Arial"/>
    </w:rPr>
  </w:style>
  <w:style w:type="paragraph" w:customStyle="1" w:styleId="Footerinfo">
    <w:name w:val="Footer info"/>
    <w:rsid w:val="00277327"/>
    <w:rPr>
      <w:rFonts w:cs="Arial"/>
      <w:color w:val="00356B"/>
      <w:spacing w:val="10"/>
      <w:sz w:val="22"/>
      <w:szCs w:val="22"/>
      <w:lang w:val="en-US"/>
    </w:rPr>
  </w:style>
  <w:style w:type="character" w:customStyle="1" w:styleId="HeaderChar">
    <w:name w:val="Header Char"/>
    <w:link w:val="Header"/>
    <w:uiPriority w:val="99"/>
    <w:rsid w:val="00691B2B"/>
    <w:rPr>
      <w:rFonts w:ascii="Arial" w:eastAsia="MS Mincho" w:hAnsi="Arial"/>
      <w:color w:val="000000"/>
      <w:sz w:val="22"/>
    </w:rPr>
  </w:style>
  <w:style w:type="paragraph" w:customStyle="1" w:styleId="Dateofreport">
    <w:name w:val="Date of report"/>
    <w:autoRedefine/>
    <w:rsid w:val="00EC22B7"/>
    <w:pPr>
      <w:spacing w:line="360" w:lineRule="exact"/>
      <w:ind w:left="-3402"/>
      <w:jc w:val="right"/>
    </w:pPr>
    <w:rPr>
      <w:b/>
      <w:color w:val="14B2CF"/>
      <w:sz w:val="32"/>
      <w:szCs w:val="32"/>
      <w:lang w:val="en-US"/>
    </w:rPr>
  </w:style>
  <w:style w:type="paragraph" w:customStyle="1" w:styleId="Style1">
    <w:name w:val="Style1"/>
    <w:basedOn w:val="Heading1"/>
    <w:rsid w:val="00D46FF5"/>
    <w:rPr>
      <w:szCs w:val="24"/>
    </w:rPr>
  </w:style>
  <w:style w:type="character" w:customStyle="1" w:styleId="Heading3Char">
    <w:name w:val="Heading 3 Char"/>
    <w:link w:val="Heading3"/>
    <w:uiPriority w:val="9"/>
    <w:rsid w:val="00E06CF3"/>
    <w:rPr>
      <w:rFonts w:ascii="Calibri" w:eastAsia="MS Mincho" w:hAnsi="Calibri" w:cs="Arial"/>
      <w:bCs/>
      <w:sz w:val="28"/>
      <w:szCs w:val="22"/>
      <w:lang w:eastAsia="en-US"/>
    </w:rPr>
  </w:style>
  <w:style w:type="paragraph" w:customStyle="1" w:styleId="Bulletlist">
    <w:name w:val="Bullet list"/>
    <w:basedOn w:val="Normal"/>
    <w:qFormat/>
    <w:rsid w:val="00F82842"/>
    <w:pPr>
      <w:numPr>
        <w:numId w:val="1"/>
      </w:numPr>
      <w:spacing w:after="120"/>
      <w:ind w:left="924" w:hanging="357"/>
    </w:pPr>
  </w:style>
  <w:style w:type="paragraph" w:styleId="TOCHeading">
    <w:name w:val="TOC Heading"/>
    <w:basedOn w:val="Heading1"/>
    <w:next w:val="Normal"/>
    <w:uiPriority w:val="39"/>
    <w:semiHidden/>
    <w:unhideWhenUsed/>
    <w:qFormat/>
    <w:rsid w:val="0088330D"/>
    <w:pPr>
      <w:keepNext/>
      <w:keepLines/>
      <w:spacing w:before="480" w:line="276" w:lineRule="auto"/>
      <w:outlineLvl w:val="9"/>
    </w:pPr>
    <w:rPr>
      <w:rFonts w:ascii="Cambria" w:eastAsia="Times New Roman" w:hAnsi="Cambria"/>
      <w:bCs/>
      <w:color w:val="365F91"/>
      <w:sz w:val="28"/>
      <w:szCs w:val="28"/>
    </w:rPr>
  </w:style>
  <w:style w:type="paragraph" w:customStyle="1" w:styleId="MediumGrid1-Accent21">
    <w:name w:val="Medium Grid 1 - Accent 21"/>
    <w:basedOn w:val="Normal"/>
    <w:uiPriority w:val="99"/>
    <w:qFormat/>
    <w:rsid w:val="00BE6B95"/>
    <w:pPr>
      <w:numPr>
        <w:numId w:val="2"/>
      </w:numPr>
      <w:spacing w:after="120"/>
      <w:ind w:left="924" w:hanging="357"/>
    </w:pPr>
  </w:style>
  <w:style w:type="paragraph" w:styleId="TOC2">
    <w:name w:val="toc 2"/>
    <w:basedOn w:val="Normal"/>
    <w:next w:val="Normal"/>
    <w:uiPriority w:val="39"/>
    <w:unhideWhenUsed/>
    <w:qFormat/>
    <w:rsid w:val="00D86E80"/>
    <w:pPr>
      <w:tabs>
        <w:tab w:val="right" w:leader="dot" w:pos="9072"/>
      </w:tabs>
      <w:spacing w:after="120" w:line="280" w:lineRule="exact"/>
      <w:ind w:left="567"/>
    </w:pPr>
    <w:rPr>
      <w:noProof/>
      <w:color w:val="auto"/>
    </w:rPr>
  </w:style>
  <w:style w:type="paragraph" w:styleId="TOC1">
    <w:name w:val="toc 1"/>
    <w:basedOn w:val="Normal"/>
    <w:next w:val="Normal"/>
    <w:uiPriority w:val="39"/>
    <w:unhideWhenUsed/>
    <w:qFormat/>
    <w:rsid w:val="00D86E80"/>
    <w:pPr>
      <w:tabs>
        <w:tab w:val="right" w:leader="dot" w:pos="9072"/>
      </w:tabs>
      <w:spacing w:after="120"/>
    </w:pPr>
  </w:style>
  <w:style w:type="paragraph" w:styleId="Footer">
    <w:name w:val="footer"/>
    <w:basedOn w:val="Normal"/>
    <w:link w:val="FooterChar"/>
    <w:uiPriority w:val="99"/>
    <w:unhideWhenUsed/>
    <w:rsid w:val="00661CBA"/>
    <w:pPr>
      <w:tabs>
        <w:tab w:val="center" w:pos="4513"/>
        <w:tab w:val="right" w:pos="9026"/>
      </w:tabs>
    </w:pPr>
    <w:rPr>
      <w:rFonts w:ascii="Arial" w:hAnsi="Arial"/>
      <w:sz w:val="20"/>
      <w:szCs w:val="20"/>
    </w:rPr>
  </w:style>
  <w:style w:type="paragraph" w:customStyle="1" w:styleId="TitleofReport">
    <w:name w:val="Title of Report"/>
    <w:rsid w:val="00292666"/>
    <w:pPr>
      <w:spacing w:line="360" w:lineRule="exact"/>
      <w:jc w:val="right"/>
    </w:pPr>
    <w:rPr>
      <w:rFonts w:ascii="Calibri" w:hAnsi="Calibri"/>
      <w:b/>
      <w:bCs/>
      <w:sz w:val="48"/>
      <w:szCs w:val="22"/>
      <w:lang w:val="en-US"/>
    </w:rPr>
  </w:style>
  <w:style w:type="paragraph" w:customStyle="1" w:styleId="Titledate">
    <w:name w:val="Title date"/>
    <w:basedOn w:val="Heading2"/>
    <w:rsid w:val="00277327"/>
    <w:pPr>
      <w:spacing w:line="360" w:lineRule="exact"/>
      <w:jc w:val="right"/>
    </w:pPr>
    <w:rPr>
      <w:i/>
      <w:iCs/>
      <w:color w:val="A8DBEC"/>
      <w:szCs w:val="24"/>
    </w:rPr>
  </w:style>
  <w:style w:type="paragraph" w:styleId="DocumentMap">
    <w:name w:val="Document Map"/>
    <w:basedOn w:val="Normal"/>
    <w:semiHidden/>
    <w:rsid w:val="00C63A59"/>
    <w:pPr>
      <w:shd w:val="clear" w:color="auto" w:fill="C6D5EC"/>
    </w:pPr>
    <w:rPr>
      <w:rFonts w:ascii="Lucida Grande" w:hAnsi="Lucida Grande"/>
    </w:rPr>
  </w:style>
  <w:style w:type="character" w:styleId="Hyperlink">
    <w:name w:val="Hyperlink"/>
    <w:uiPriority w:val="99"/>
    <w:rsid w:val="00DE2070"/>
    <w:rPr>
      <w:color w:val="0000FF"/>
      <w:u w:val="single"/>
    </w:rPr>
  </w:style>
  <w:style w:type="paragraph" w:customStyle="1" w:styleId="Style2">
    <w:name w:val="Style2"/>
    <w:basedOn w:val="Normal"/>
    <w:qFormat/>
    <w:rsid w:val="00786EF9"/>
    <w:pPr>
      <w:widowControl/>
      <w:tabs>
        <w:tab w:val="left" w:pos="2892"/>
        <w:tab w:val="left" w:pos="8460"/>
      </w:tabs>
      <w:suppressAutoHyphens w:val="0"/>
      <w:spacing w:line="480" w:lineRule="exact"/>
    </w:pPr>
    <w:rPr>
      <w:rFonts w:eastAsia="Times New Roman" w:cs="Arial"/>
      <w:color w:val="00356B"/>
    </w:rPr>
  </w:style>
  <w:style w:type="paragraph" w:styleId="NoSpacing">
    <w:name w:val="No Spacing"/>
    <w:uiPriority w:val="1"/>
    <w:qFormat/>
    <w:rsid w:val="0088330D"/>
    <w:pPr>
      <w:widowControl w:val="0"/>
      <w:suppressAutoHyphens/>
      <w:ind w:left="1134"/>
    </w:pPr>
    <w:rPr>
      <w:rFonts w:eastAsia="MS Mincho"/>
      <w:color w:val="000000"/>
      <w:sz w:val="22"/>
      <w:szCs w:val="22"/>
      <w:lang w:val="en-US"/>
    </w:rPr>
  </w:style>
  <w:style w:type="paragraph" w:customStyle="1" w:styleId="HighlightText">
    <w:name w:val="Highlight Text"/>
    <w:basedOn w:val="Normal"/>
    <w:next w:val="Normal"/>
    <w:qFormat/>
    <w:rsid w:val="00C4654E"/>
    <w:rPr>
      <w:color w:val="auto"/>
    </w:rPr>
  </w:style>
  <w:style w:type="paragraph" w:customStyle="1" w:styleId="Subtitle">
    <w:name w:val="Sub title"/>
    <w:link w:val="SubtitleChar"/>
    <w:autoRedefine/>
    <w:qFormat/>
    <w:rsid w:val="00292666"/>
    <w:pPr>
      <w:spacing w:before="300" w:after="300" w:line="360" w:lineRule="exact"/>
    </w:pPr>
    <w:rPr>
      <w:rFonts w:ascii="Calibri" w:hAnsi="Calibri"/>
      <w:sz w:val="32"/>
      <w:szCs w:val="22"/>
      <w:lang w:val="en-US"/>
    </w:rPr>
  </w:style>
  <w:style w:type="paragraph" w:customStyle="1" w:styleId="Logo">
    <w:name w:val="Logo"/>
    <w:basedOn w:val="Heading1"/>
    <w:qFormat/>
    <w:rsid w:val="00454C80"/>
    <w:pPr>
      <w:jc w:val="center"/>
    </w:pPr>
    <w:rPr>
      <w:sz w:val="20"/>
    </w:rPr>
  </w:style>
  <w:style w:type="character" w:customStyle="1" w:styleId="Heading1Char">
    <w:name w:val="Heading 1 Char"/>
    <w:link w:val="Heading1"/>
    <w:rsid w:val="00F14F3B"/>
    <w:rPr>
      <w:rFonts w:ascii="Calibri" w:eastAsia="MS Mincho" w:hAnsi="Calibri"/>
      <w:b/>
      <w:color w:val="007D57"/>
      <w:sz w:val="44"/>
      <w:szCs w:val="22"/>
    </w:rPr>
  </w:style>
  <w:style w:type="paragraph" w:customStyle="1" w:styleId="Style3">
    <w:name w:val="Style3"/>
    <w:basedOn w:val="Heading1"/>
    <w:rsid w:val="000C605F"/>
    <w:pPr>
      <w:jc w:val="center"/>
    </w:pPr>
    <w:rPr>
      <w:sz w:val="20"/>
    </w:rPr>
  </w:style>
  <w:style w:type="paragraph" w:customStyle="1" w:styleId="Footertext">
    <w:name w:val="Footer text"/>
    <w:basedOn w:val="Footerinfo"/>
    <w:qFormat/>
    <w:rsid w:val="003A6761"/>
    <w:pPr>
      <w:ind w:right="-137"/>
    </w:pPr>
  </w:style>
  <w:style w:type="table" w:styleId="TableGrid">
    <w:name w:val="Table Grid"/>
    <w:basedOn w:val="TableNormal"/>
    <w:rsid w:val="00480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0"/>
    <w:rsid w:val="00472BF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BalloonText">
    <w:name w:val="Balloon Text"/>
    <w:basedOn w:val="Normal"/>
    <w:link w:val="BalloonTextChar"/>
    <w:uiPriority w:val="99"/>
    <w:semiHidden/>
    <w:unhideWhenUsed/>
    <w:rsid w:val="007A769A"/>
    <w:rPr>
      <w:rFonts w:ascii="Tahoma" w:hAnsi="Tahoma"/>
      <w:sz w:val="16"/>
      <w:szCs w:val="16"/>
    </w:rPr>
  </w:style>
  <w:style w:type="character" w:customStyle="1" w:styleId="BalloonTextChar">
    <w:name w:val="Balloon Text Char"/>
    <w:link w:val="BalloonText"/>
    <w:uiPriority w:val="99"/>
    <w:semiHidden/>
    <w:rsid w:val="007A769A"/>
    <w:rPr>
      <w:rFonts w:ascii="Tahoma" w:eastAsia="MS Mincho" w:hAnsi="Tahoma" w:cs="Tahoma"/>
      <w:color w:val="000000"/>
      <w:sz w:val="16"/>
      <w:szCs w:val="16"/>
      <w:lang w:eastAsia="en-US"/>
    </w:rPr>
  </w:style>
  <w:style w:type="paragraph" w:customStyle="1" w:styleId="Orange">
    <w:name w:val="Orange"/>
    <w:basedOn w:val="Bulletlist"/>
    <w:qFormat/>
    <w:rsid w:val="00200A63"/>
    <w:pPr>
      <w:numPr>
        <w:numId w:val="0"/>
      </w:numPr>
    </w:pPr>
    <w:rPr>
      <w:color w:val="F79646"/>
    </w:rPr>
  </w:style>
  <w:style w:type="paragraph" w:customStyle="1" w:styleId="ReportFooter">
    <w:name w:val="Report Footer"/>
    <w:basedOn w:val="Normal"/>
    <w:qFormat/>
    <w:rsid w:val="00CF6E9B"/>
    <w:pPr>
      <w:tabs>
        <w:tab w:val="center" w:pos="4680"/>
        <w:tab w:val="right" w:pos="9360"/>
      </w:tabs>
    </w:pPr>
    <w:rPr>
      <w:sz w:val="20"/>
    </w:rPr>
  </w:style>
  <w:style w:type="character" w:customStyle="1" w:styleId="FooterChar">
    <w:name w:val="Footer Char"/>
    <w:link w:val="Footer"/>
    <w:uiPriority w:val="99"/>
    <w:rsid w:val="00661CBA"/>
    <w:rPr>
      <w:rFonts w:eastAsia="MS Mincho"/>
      <w:color w:val="000000"/>
      <w:lang w:eastAsia="en-US"/>
    </w:rPr>
  </w:style>
  <w:style w:type="paragraph" w:customStyle="1" w:styleId="Reporttitle">
    <w:name w:val="Report title"/>
    <w:basedOn w:val="Subtitle"/>
    <w:link w:val="ReporttitleChar"/>
    <w:qFormat/>
    <w:rsid w:val="00FB7445"/>
    <w:pPr>
      <w:spacing w:line="240" w:lineRule="auto"/>
    </w:pPr>
    <w:rPr>
      <w:b/>
      <w:color w:val="007D57"/>
      <w:sz w:val="56"/>
    </w:rPr>
  </w:style>
  <w:style w:type="paragraph" w:customStyle="1" w:styleId="MediumList2-Accent21">
    <w:name w:val="Medium List 2 - Accent 21"/>
    <w:hidden/>
    <w:uiPriority w:val="99"/>
    <w:semiHidden/>
    <w:rsid w:val="00EC11DE"/>
    <w:rPr>
      <w:rFonts w:eastAsia="MS Mincho"/>
      <w:color w:val="000000"/>
      <w:sz w:val="22"/>
      <w:szCs w:val="22"/>
    </w:rPr>
  </w:style>
  <w:style w:type="character" w:customStyle="1" w:styleId="SubtitleChar">
    <w:name w:val="Sub title Char"/>
    <w:link w:val="Subtitle"/>
    <w:rsid w:val="00292666"/>
    <w:rPr>
      <w:rFonts w:ascii="Calibri" w:hAnsi="Calibri"/>
      <w:sz w:val="32"/>
      <w:szCs w:val="22"/>
      <w:lang w:val="en-US" w:eastAsia="en-US" w:bidi="ar-SA"/>
    </w:rPr>
  </w:style>
  <w:style w:type="character" w:customStyle="1" w:styleId="ReporttitleChar">
    <w:name w:val="Report title Char"/>
    <w:link w:val="Reporttitle"/>
    <w:rsid w:val="00FB7445"/>
    <w:rPr>
      <w:rFonts w:ascii="Calibri" w:hAnsi="Calibri"/>
      <w:b/>
      <w:color w:val="007D57"/>
      <w:sz w:val="56"/>
      <w:szCs w:val="22"/>
      <w:lang w:val="en-US"/>
    </w:rPr>
  </w:style>
  <w:style w:type="paragraph" w:styleId="TOC3">
    <w:name w:val="toc 3"/>
    <w:basedOn w:val="Normal"/>
    <w:next w:val="Normal"/>
    <w:autoRedefine/>
    <w:uiPriority w:val="39"/>
    <w:semiHidden/>
    <w:unhideWhenUsed/>
    <w:rsid w:val="00D46FF5"/>
    <w:pPr>
      <w:spacing w:after="100"/>
      <w:ind w:left="440"/>
    </w:pPr>
  </w:style>
  <w:style w:type="character" w:styleId="FollowedHyperlink">
    <w:name w:val="FollowedHyperlink"/>
    <w:uiPriority w:val="99"/>
    <w:semiHidden/>
    <w:unhideWhenUsed/>
    <w:rsid w:val="00670944"/>
    <w:rPr>
      <w:color w:val="800080"/>
      <w:u w:val="single"/>
    </w:rPr>
  </w:style>
  <w:style w:type="character" w:styleId="CommentReference">
    <w:name w:val="annotation reference"/>
    <w:uiPriority w:val="99"/>
    <w:semiHidden/>
    <w:unhideWhenUsed/>
    <w:rsid w:val="007E5448"/>
    <w:rPr>
      <w:sz w:val="16"/>
      <w:szCs w:val="16"/>
    </w:rPr>
  </w:style>
  <w:style w:type="paragraph" w:styleId="CommentText">
    <w:name w:val="annotation text"/>
    <w:basedOn w:val="Normal"/>
    <w:link w:val="CommentTextChar"/>
    <w:uiPriority w:val="99"/>
    <w:unhideWhenUsed/>
    <w:rsid w:val="007E5448"/>
    <w:rPr>
      <w:sz w:val="20"/>
      <w:szCs w:val="20"/>
    </w:rPr>
  </w:style>
  <w:style w:type="character" w:customStyle="1" w:styleId="CommentTextChar">
    <w:name w:val="Comment Text Char"/>
    <w:link w:val="CommentText"/>
    <w:uiPriority w:val="99"/>
    <w:rsid w:val="007E5448"/>
    <w:rPr>
      <w:rFonts w:ascii="Calibri" w:eastAsia="MS Mincho" w:hAnsi="Calibri"/>
      <w:color w:val="000000"/>
      <w:lang w:eastAsia="en-US"/>
    </w:rPr>
  </w:style>
  <w:style w:type="paragraph" w:styleId="CommentSubject">
    <w:name w:val="annotation subject"/>
    <w:basedOn w:val="CommentText"/>
    <w:next w:val="CommentText"/>
    <w:link w:val="CommentSubjectChar"/>
    <w:uiPriority w:val="99"/>
    <w:semiHidden/>
    <w:unhideWhenUsed/>
    <w:rsid w:val="007E5448"/>
    <w:rPr>
      <w:b/>
      <w:bCs/>
    </w:rPr>
  </w:style>
  <w:style w:type="character" w:customStyle="1" w:styleId="CommentSubjectChar">
    <w:name w:val="Comment Subject Char"/>
    <w:link w:val="CommentSubject"/>
    <w:uiPriority w:val="99"/>
    <w:semiHidden/>
    <w:rsid w:val="007E5448"/>
    <w:rPr>
      <w:rFonts w:ascii="Calibri" w:eastAsia="MS Mincho" w:hAnsi="Calibri"/>
      <w:b/>
      <w:bCs/>
      <w:color w:val="000000"/>
      <w:lang w:eastAsia="en-US"/>
    </w:rPr>
  </w:style>
  <w:style w:type="paragraph" w:styleId="FootnoteText">
    <w:name w:val="footnote text"/>
    <w:basedOn w:val="Normal"/>
    <w:link w:val="FootnoteTextChar"/>
    <w:uiPriority w:val="99"/>
    <w:unhideWhenUsed/>
    <w:rsid w:val="00DF3EE7"/>
    <w:rPr>
      <w:szCs w:val="24"/>
    </w:rPr>
  </w:style>
  <w:style w:type="character" w:customStyle="1" w:styleId="FootnoteTextChar">
    <w:name w:val="Footnote Text Char"/>
    <w:link w:val="FootnoteText"/>
    <w:uiPriority w:val="99"/>
    <w:rsid w:val="00DF3EE7"/>
    <w:rPr>
      <w:rFonts w:ascii="Calibri" w:eastAsia="MS Mincho" w:hAnsi="Calibri"/>
      <w:color w:val="000000"/>
      <w:sz w:val="24"/>
      <w:szCs w:val="24"/>
    </w:rPr>
  </w:style>
  <w:style w:type="character" w:styleId="FootnoteReference">
    <w:name w:val="footnote reference"/>
    <w:uiPriority w:val="99"/>
    <w:unhideWhenUsed/>
    <w:rsid w:val="00DF3EE7"/>
    <w:rPr>
      <w:vertAlign w:val="superscript"/>
    </w:rPr>
  </w:style>
  <w:style w:type="paragraph" w:styleId="ListParagraph">
    <w:name w:val="List Paragraph"/>
    <w:basedOn w:val="Normal"/>
    <w:uiPriority w:val="34"/>
    <w:qFormat/>
    <w:rsid w:val="001263C2"/>
    <w:pPr>
      <w:ind w:left="720"/>
      <w:contextualSpacing/>
    </w:pPr>
  </w:style>
  <w:style w:type="paragraph" w:styleId="EndnoteText">
    <w:name w:val="endnote text"/>
    <w:basedOn w:val="Normal"/>
    <w:link w:val="EndnoteTextChar"/>
    <w:uiPriority w:val="99"/>
    <w:semiHidden/>
    <w:unhideWhenUsed/>
    <w:rsid w:val="00C87E94"/>
    <w:rPr>
      <w:sz w:val="20"/>
      <w:szCs w:val="20"/>
    </w:rPr>
  </w:style>
  <w:style w:type="character" w:customStyle="1" w:styleId="EndnoteTextChar">
    <w:name w:val="Endnote Text Char"/>
    <w:link w:val="EndnoteText"/>
    <w:uiPriority w:val="99"/>
    <w:semiHidden/>
    <w:rsid w:val="00C87E94"/>
    <w:rPr>
      <w:rFonts w:ascii="Calibri" w:eastAsia="MS Mincho" w:hAnsi="Calibri"/>
      <w:color w:val="000000"/>
      <w:lang w:eastAsia="en-US"/>
    </w:rPr>
  </w:style>
  <w:style w:type="character" w:styleId="EndnoteReference">
    <w:name w:val="endnote reference"/>
    <w:uiPriority w:val="99"/>
    <w:semiHidden/>
    <w:unhideWhenUsed/>
    <w:rsid w:val="00C87E94"/>
    <w:rPr>
      <w:vertAlign w:val="superscript"/>
    </w:rPr>
  </w:style>
  <w:style w:type="character" w:customStyle="1" w:styleId="Heading2Char">
    <w:name w:val="Heading 2 Char"/>
    <w:link w:val="Heading2"/>
    <w:uiPriority w:val="9"/>
    <w:rsid w:val="00F14F3B"/>
    <w:rPr>
      <w:rFonts w:ascii="Calibri" w:eastAsia="MS Mincho" w:hAnsi="Calibri"/>
      <w:b/>
      <w:sz w:val="32"/>
      <w:szCs w:val="22"/>
    </w:rPr>
  </w:style>
  <w:style w:type="paragraph" w:customStyle="1" w:styleId="Default">
    <w:name w:val="Default"/>
    <w:rsid w:val="007102F1"/>
    <w:pPr>
      <w:autoSpaceDE w:val="0"/>
      <w:autoSpaceDN w:val="0"/>
      <w:adjustRightInd w:val="0"/>
    </w:pPr>
    <w:rPr>
      <w:rFonts w:ascii="Franklin Gothic Book" w:eastAsia="Calibri" w:hAnsi="Franklin Gothic Book" w:cs="Franklin Gothic Book"/>
      <w:color w:val="000000"/>
      <w:sz w:val="24"/>
      <w:szCs w:val="24"/>
    </w:rPr>
  </w:style>
  <w:style w:type="paragraph" w:styleId="Subtitle0">
    <w:name w:val="Subtitle"/>
    <w:basedOn w:val="Normal"/>
    <w:next w:val="Normal"/>
    <w:link w:val="SubtitleChar0"/>
    <w:uiPriority w:val="11"/>
    <w:qFormat/>
    <w:rsid w:val="007102F1"/>
    <w:pPr>
      <w:widowControl/>
      <w:numPr>
        <w:ilvl w:val="1"/>
      </w:numPr>
      <w:suppressAutoHyphens w:val="0"/>
    </w:pPr>
    <w:rPr>
      <w:rFonts w:ascii="Cambria" w:eastAsia="Times New Roman" w:hAnsi="Cambria"/>
      <w:i/>
      <w:iCs/>
      <w:color w:val="4F81BD"/>
      <w:spacing w:val="15"/>
      <w:szCs w:val="24"/>
      <w:lang w:val="en-US"/>
    </w:rPr>
  </w:style>
  <w:style w:type="character" w:customStyle="1" w:styleId="SubtitleChar0">
    <w:name w:val="Subtitle Char"/>
    <w:link w:val="Subtitle0"/>
    <w:uiPriority w:val="11"/>
    <w:rsid w:val="007102F1"/>
    <w:rPr>
      <w:rFonts w:ascii="Cambria" w:eastAsia="Times New Roman" w:hAnsi="Cambria" w:cs="Times New Roman"/>
      <w:i/>
      <w:iCs/>
      <w:color w:val="4F81BD"/>
      <w:spacing w:val="15"/>
      <w:sz w:val="24"/>
      <w:szCs w:val="24"/>
      <w:lang w:val="en-US" w:eastAsia="en-US"/>
    </w:rPr>
  </w:style>
  <w:style w:type="character" w:styleId="IntenseEmphasis">
    <w:name w:val="Intense Emphasis"/>
    <w:uiPriority w:val="21"/>
    <w:qFormat/>
    <w:rsid w:val="007102F1"/>
    <w:rPr>
      <w:b/>
      <w:bCs/>
      <w:i/>
      <w:iCs/>
      <w:color w:val="4F81BD"/>
    </w:rPr>
  </w:style>
  <w:style w:type="table" w:styleId="MediumList2-Accent6">
    <w:name w:val="Medium List 2 Accent 6"/>
    <w:basedOn w:val="TableNormal"/>
    <w:uiPriority w:val="66"/>
    <w:rsid w:val="007102F1"/>
    <w:rPr>
      <w:rFonts w:ascii="Cambria" w:hAnsi="Cambria"/>
      <w:color w:val="000000"/>
      <w:sz w:val="24"/>
      <w:szCs w:val="24"/>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Grid-Accent6">
    <w:name w:val="Colorful Grid Accent 6"/>
    <w:basedOn w:val="TableNormal"/>
    <w:uiPriority w:val="73"/>
    <w:rsid w:val="007102F1"/>
    <w:rPr>
      <w:rFonts w:ascii="Calibri" w:hAnsi="Calibri"/>
      <w:color w:val="000000"/>
      <w:sz w:val="24"/>
      <w:szCs w:val="24"/>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Grid-Accent5">
    <w:name w:val="Colorful Grid Accent 5"/>
    <w:basedOn w:val="TableNormal"/>
    <w:uiPriority w:val="73"/>
    <w:rsid w:val="007102F1"/>
    <w:rPr>
      <w:rFonts w:ascii="Calibri" w:hAnsi="Calibri"/>
      <w:color w:val="000000"/>
      <w:sz w:val="24"/>
      <w:szCs w:val="24"/>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4">
    <w:name w:val="Colorful Grid Accent 4"/>
    <w:basedOn w:val="TableNormal"/>
    <w:uiPriority w:val="73"/>
    <w:rsid w:val="007102F1"/>
    <w:rPr>
      <w:rFonts w:ascii="Calibri" w:hAnsi="Calibri"/>
      <w:color w:val="000000"/>
      <w:sz w:val="24"/>
      <w:szCs w:val="24"/>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1">
    <w:name w:val="Colorful Grid1"/>
    <w:basedOn w:val="TableNormal"/>
    <w:uiPriority w:val="73"/>
    <w:rsid w:val="007102F1"/>
    <w:rPr>
      <w:rFonts w:ascii="Calibri" w:hAnsi="Calibri"/>
      <w:color w:val="000000"/>
      <w:sz w:val="24"/>
      <w:szCs w:val="24"/>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Accent6">
    <w:name w:val="Colorful List Accent 6"/>
    <w:basedOn w:val="TableNormal"/>
    <w:uiPriority w:val="72"/>
    <w:rsid w:val="007102F1"/>
    <w:rPr>
      <w:rFonts w:ascii="Calibri" w:hAnsi="Calibri"/>
      <w:color w:val="000000"/>
      <w:sz w:val="24"/>
      <w:szCs w:val="24"/>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Accent5">
    <w:name w:val="Colorful List Accent 5"/>
    <w:basedOn w:val="TableNormal"/>
    <w:uiPriority w:val="72"/>
    <w:rsid w:val="007102F1"/>
    <w:rPr>
      <w:rFonts w:ascii="Calibri" w:hAnsi="Calibri"/>
      <w:color w:val="000000"/>
      <w:sz w:val="24"/>
      <w:szCs w:val="24"/>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3">
    <w:name w:val="Colorful List Accent 3"/>
    <w:basedOn w:val="TableNormal"/>
    <w:uiPriority w:val="72"/>
    <w:rsid w:val="007102F1"/>
    <w:rPr>
      <w:rFonts w:ascii="Calibri" w:hAnsi="Calibri"/>
      <w:color w:val="000000"/>
      <w:sz w:val="24"/>
      <w:szCs w:val="24"/>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102F1"/>
    <w:rPr>
      <w:rFonts w:ascii="Calibri" w:hAnsi="Calibri"/>
      <w:color w:val="000000"/>
      <w:sz w:val="24"/>
      <w:szCs w:val="24"/>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List2-Accent5">
    <w:name w:val="Medium List 2 Accent 5"/>
    <w:basedOn w:val="TableNormal"/>
    <w:uiPriority w:val="66"/>
    <w:rsid w:val="007102F1"/>
    <w:rPr>
      <w:rFonts w:ascii="Cambria" w:hAnsi="Cambria"/>
      <w:color w:val="000000"/>
      <w:sz w:val="24"/>
      <w:szCs w:val="24"/>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7102F1"/>
    <w:rPr>
      <w:rFonts w:ascii="Calibri" w:hAnsi="Calibri"/>
      <w:color w:val="000000"/>
      <w:sz w:val="24"/>
      <w:szCs w:val="24"/>
      <w:lang w:val="en-US"/>
    </w:rPr>
    <w:tblPr>
      <w:tblStyleRowBandSize w:val="1"/>
      <w:tblStyleColBandSize w:val="1"/>
      <w:tblBorders>
        <w:top w:val="single" w:sz="8" w:space="0" w:color="4BACC6"/>
        <w:bottom w:val="single" w:sz="8" w:space="0" w:color="4BACC6"/>
      </w:tblBorders>
    </w:tblPr>
    <w:tblStylePr w:type="firstRow">
      <w:rPr>
        <w:rFonts w:ascii="Cambria Math" w:eastAsia="Times New Roman" w:hAnsi="Cambria Math"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PlainText">
    <w:name w:val="Plain Text"/>
    <w:basedOn w:val="Normal"/>
    <w:link w:val="PlainTextChar"/>
    <w:uiPriority w:val="99"/>
    <w:semiHidden/>
    <w:unhideWhenUsed/>
    <w:rsid w:val="007102F1"/>
    <w:pPr>
      <w:widowControl/>
      <w:suppressAutoHyphens w:val="0"/>
    </w:pPr>
    <w:rPr>
      <w:rFonts w:eastAsia="Calibri"/>
      <w:color w:val="auto"/>
      <w:sz w:val="22"/>
      <w:szCs w:val="21"/>
    </w:rPr>
  </w:style>
  <w:style w:type="character" w:customStyle="1" w:styleId="PlainTextChar">
    <w:name w:val="Plain Text Char"/>
    <w:link w:val="PlainText"/>
    <w:uiPriority w:val="99"/>
    <w:semiHidden/>
    <w:rsid w:val="007102F1"/>
    <w:rPr>
      <w:rFonts w:ascii="Calibri" w:eastAsia="Calibri" w:hAnsi="Calibri" w:cs="Times New Roman"/>
      <w:sz w:val="22"/>
      <w:szCs w:val="21"/>
      <w:lang w:eastAsia="en-US"/>
    </w:rPr>
  </w:style>
  <w:style w:type="paragraph" w:customStyle="1" w:styleId="ParagraphText">
    <w:name w:val="Paragraph Text"/>
    <w:aliases w:val="pt"/>
    <w:basedOn w:val="Normal"/>
    <w:rsid w:val="007102F1"/>
    <w:pPr>
      <w:widowControl/>
      <w:suppressAutoHyphens w:val="0"/>
      <w:adjustRightInd w:val="0"/>
      <w:spacing w:after="180" w:line="260" w:lineRule="atLeast"/>
      <w:textAlignment w:val="baseline"/>
    </w:pPr>
    <w:rPr>
      <w:rFonts w:ascii="Times New Roman" w:eastAsia="Times New Roman" w:hAnsi="Times New Roman"/>
      <w:color w:val="auto"/>
      <w:kern w:val="16"/>
      <w:sz w:val="22"/>
      <w:lang w:val="en-GB"/>
    </w:rPr>
  </w:style>
  <w:style w:type="character" w:styleId="Emphasis">
    <w:name w:val="Emphasis"/>
    <w:basedOn w:val="DefaultParagraphFont"/>
    <w:uiPriority w:val="20"/>
    <w:qFormat/>
    <w:rsid w:val="002B68AF"/>
    <w:rPr>
      <w:i/>
      <w:iCs/>
    </w:rPr>
  </w:style>
  <w:style w:type="paragraph" w:customStyle="1" w:styleId="StyleOutlinenumberedLeft063cmHanging063cm">
    <w:name w:val="Style Outline numbered Left:  0.63 cm Hanging:  0.63 cm"/>
    <w:basedOn w:val="Normal"/>
    <w:rsid w:val="00F15B9A"/>
    <w:pPr>
      <w:widowControl/>
      <w:numPr>
        <w:numId w:val="36"/>
      </w:numPr>
      <w:suppressAutoHyphens w:val="0"/>
      <w:ind w:left="357" w:hanging="357"/>
      <w:contextualSpacing/>
    </w:pPr>
    <w:rPr>
      <w:rFonts w:eastAsia="Times New Roman"/>
      <w:b/>
      <w:color w:val="auto"/>
      <w:sz w:val="22"/>
      <w:szCs w:val="20"/>
    </w:rPr>
  </w:style>
  <w:style w:type="paragraph" w:customStyle="1" w:styleId="StyleOutlinenumberedLeft127cmHanging063cm">
    <w:name w:val="Style Outline numbered Left:  1.27 cm Hanging:  0.63 cm"/>
    <w:basedOn w:val="Normal"/>
    <w:rsid w:val="00F15B9A"/>
    <w:pPr>
      <w:widowControl/>
      <w:numPr>
        <w:ilvl w:val="1"/>
        <w:numId w:val="36"/>
      </w:numPr>
      <w:suppressAutoHyphens w:val="0"/>
      <w:ind w:left="357" w:hanging="357"/>
      <w:contextualSpacing/>
    </w:pPr>
    <w:rPr>
      <w:rFonts w:eastAsia="Times New Roman"/>
      <w:color w:val="auto"/>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Document Map" w:uiPriority="0"/>
    <w:lsdException w:name="Table Grid" w:semiHidden="0" w:uiPriority="0" w:unhideWhenUsed="0"/>
    <w:lsdException w:name="Placeholder Text" w:semiHidden="0" w:uiPriority="62" w:unhideWhenUsed="0"/>
    <w:lsdException w:name="No Spacing" w:semiHidden="0" w:uiPriority="1" w:unhideWhenUsed="0" w:qFormat="1"/>
    <w:lsdException w:name="Light Shading" w:semiHidden="0" w:uiPriority="64" w:unhideWhenUsed="0"/>
    <w:lsdException w:name="Light List" w:semiHidden="0" w:uiPriority="65" w:unhideWhenUsed="0"/>
    <w:lsdException w:name="Light Grid" w:unhideWhenUsed="0"/>
    <w:lsdException w:name="Medium Shading 1" w:semiHidden="0"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72"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72" w:unhideWhenUsed="0"/>
    <w:lsdException w:name="Medium Shading 2 Accent 4" w:semiHidden="0" w:uiPriority="73"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5" w:unhideWhenUsed="0"/>
    <w:lsdException w:name="Colorful Shading Accent 4" w:semiHidden="0" w:uiPriority="66"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72" w:unhideWhenUsed="0"/>
    <w:lsdException w:name="Medium Shading 2 Accent 5" w:semiHidden="0" w:uiPriority="73"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66"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A1"/>
    <w:pPr>
      <w:widowControl w:val="0"/>
      <w:suppressAutoHyphens/>
    </w:pPr>
    <w:rPr>
      <w:rFonts w:ascii="Calibri" w:eastAsia="MS Mincho" w:hAnsi="Calibri"/>
      <w:color w:val="000000"/>
      <w:sz w:val="24"/>
      <w:szCs w:val="22"/>
    </w:rPr>
  </w:style>
  <w:style w:type="paragraph" w:styleId="Heading1">
    <w:name w:val="heading 1"/>
    <w:basedOn w:val="Normal"/>
    <w:next w:val="Normal"/>
    <w:link w:val="Heading1Char"/>
    <w:qFormat/>
    <w:rsid w:val="00F14F3B"/>
    <w:pPr>
      <w:widowControl/>
      <w:suppressAutoHyphens w:val="0"/>
      <w:spacing w:before="360" w:after="240" w:line="360" w:lineRule="exact"/>
      <w:outlineLvl w:val="0"/>
    </w:pPr>
    <w:rPr>
      <w:b/>
      <w:color w:val="007D57"/>
      <w:sz w:val="44"/>
    </w:rPr>
  </w:style>
  <w:style w:type="paragraph" w:styleId="Heading2">
    <w:name w:val="heading 2"/>
    <w:basedOn w:val="Normal"/>
    <w:next w:val="Normal"/>
    <w:link w:val="Heading2Char"/>
    <w:uiPriority w:val="9"/>
    <w:qFormat/>
    <w:rsid w:val="00F14F3B"/>
    <w:pPr>
      <w:widowControl/>
      <w:spacing w:before="240" w:after="120" w:line="360" w:lineRule="auto"/>
      <w:outlineLvl w:val="1"/>
    </w:pPr>
    <w:rPr>
      <w:b/>
      <w:color w:val="auto"/>
      <w:sz w:val="32"/>
    </w:rPr>
  </w:style>
  <w:style w:type="paragraph" w:styleId="Heading3">
    <w:name w:val="heading 3"/>
    <w:basedOn w:val="Normal"/>
    <w:next w:val="Normal"/>
    <w:link w:val="Heading3Char"/>
    <w:uiPriority w:val="9"/>
    <w:qFormat/>
    <w:rsid w:val="00E06CF3"/>
    <w:pPr>
      <w:keepNext/>
      <w:spacing w:before="240" w:after="240"/>
      <w:outlineLvl w:val="2"/>
    </w:pPr>
    <w:rPr>
      <w:bCs/>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B2B"/>
    <w:pPr>
      <w:tabs>
        <w:tab w:val="center" w:pos="4680"/>
        <w:tab w:val="right" w:pos="9360"/>
      </w:tabs>
    </w:pPr>
    <w:rPr>
      <w:rFonts w:ascii="Arial" w:hAnsi="Arial"/>
      <w:sz w:val="22"/>
      <w:szCs w:val="20"/>
    </w:rPr>
  </w:style>
  <w:style w:type="character" w:styleId="Strong">
    <w:name w:val="Strong"/>
    <w:uiPriority w:val="99"/>
    <w:qFormat/>
    <w:rsid w:val="003730A9"/>
    <w:rPr>
      <w:b/>
      <w:bCs/>
    </w:rPr>
  </w:style>
  <w:style w:type="character" w:styleId="PageNumber">
    <w:name w:val="page number"/>
    <w:uiPriority w:val="99"/>
    <w:rsid w:val="0088330D"/>
    <w:rPr>
      <w:rFonts w:ascii="Arial" w:hAnsi="Arial"/>
    </w:rPr>
  </w:style>
  <w:style w:type="paragraph" w:customStyle="1" w:styleId="Footerinfo">
    <w:name w:val="Footer info"/>
    <w:rsid w:val="00277327"/>
    <w:rPr>
      <w:rFonts w:cs="Arial"/>
      <w:color w:val="00356B"/>
      <w:spacing w:val="10"/>
      <w:sz w:val="22"/>
      <w:szCs w:val="22"/>
      <w:lang w:val="en-US"/>
    </w:rPr>
  </w:style>
  <w:style w:type="character" w:customStyle="1" w:styleId="HeaderChar">
    <w:name w:val="Header Char"/>
    <w:link w:val="Header"/>
    <w:uiPriority w:val="99"/>
    <w:rsid w:val="00691B2B"/>
    <w:rPr>
      <w:rFonts w:ascii="Arial" w:eastAsia="MS Mincho" w:hAnsi="Arial"/>
      <w:color w:val="000000"/>
      <w:sz w:val="22"/>
    </w:rPr>
  </w:style>
  <w:style w:type="paragraph" w:customStyle="1" w:styleId="Dateofreport">
    <w:name w:val="Date of report"/>
    <w:autoRedefine/>
    <w:rsid w:val="00EC22B7"/>
    <w:pPr>
      <w:spacing w:line="360" w:lineRule="exact"/>
      <w:ind w:left="-3402"/>
      <w:jc w:val="right"/>
    </w:pPr>
    <w:rPr>
      <w:b/>
      <w:color w:val="14B2CF"/>
      <w:sz w:val="32"/>
      <w:szCs w:val="32"/>
      <w:lang w:val="en-US"/>
    </w:rPr>
  </w:style>
  <w:style w:type="paragraph" w:customStyle="1" w:styleId="Style1">
    <w:name w:val="Style1"/>
    <w:basedOn w:val="Heading1"/>
    <w:rsid w:val="00D46FF5"/>
    <w:rPr>
      <w:szCs w:val="24"/>
    </w:rPr>
  </w:style>
  <w:style w:type="character" w:customStyle="1" w:styleId="Heading3Char">
    <w:name w:val="Heading 3 Char"/>
    <w:link w:val="Heading3"/>
    <w:uiPriority w:val="9"/>
    <w:rsid w:val="00E06CF3"/>
    <w:rPr>
      <w:rFonts w:ascii="Calibri" w:eastAsia="MS Mincho" w:hAnsi="Calibri" w:cs="Arial"/>
      <w:bCs/>
      <w:sz w:val="28"/>
      <w:szCs w:val="22"/>
      <w:lang w:eastAsia="en-US"/>
    </w:rPr>
  </w:style>
  <w:style w:type="paragraph" w:customStyle="1" w:styleId="Bulletlist">
    <w:name w:val="Bullet list"/>
    <w:basedOn w:val="Normal"/>
    <w:qFormat/>
    <w:rsid w:val="00F82842"/>
    <w:pPr>
      <w:numPr>
        <w:numId w:val="1"/>
      </w:numPr>
      <w:spacing w:after="120"/>
      <w:ind w:left="924" w:hanging="357"/>
    </w:pPr>
  </w:style>
  <w:style w:type="paragraph" w:styleId="TOCHeading">
    <w:name w:val="TOC Heading"/>
    <w:basedOn w:val="Heading1"/>
    <w:next w:val="Normal"/>
    <w:uiPriority w:val="39"/>
    <w:semiHidden/>
    <w:unhideWhenUsed/>
    <w:qFormat/>
    <w:rsid w:val="0088330D"/>
    <w:pPr>
      <w:keepNext/>
      <w:keepLines/>
      <w:spacing w:before="480" w:line="276" w:lineRule="auto"/>
      <w:outlineLvl w:val="9"/>
    </w:pPr>
    <w:rPr>
      <w:rFonts w:ascii="Cambria" w:eastAsia="Times New Roman" w:hAnsi="Cambria"/>
      <w:bCs/>
      <w:color w:val="365F91"/>
      <w:sz w:val="28"/>
      <w:szCs w:val="28"/>
    </w:rPr>
  </w:style>
  <w:style w:type="paragraph" w:customStyle="1" w:styleId="MediumGrid1-Accent21">
    <w:name w:val="Medium Grid 1 - Accent 21"/>
    <w:basedOn w:val="Normal"/>
    <w:uiPriority w:val="99"/>
    <w:qFormat/>
    <w:rsid w:val="00BE6B95"/>
    <w:pPr>
      <w:numPr>
        <w:numId w:val="2"/>
      </w:numPr>
      <w:spacing w:after="120"/>
      <w:ind w:left="924" w:hanging="357"/>
    </w:pPr>
  </w:style>
  <w:style w:type="paragraph" w:styleId="TOC2">
    <w:name w:val="toc 2"/>
    <w:basedOn w:val="Normal"/>
    <w:next w:val="Normal"/>
    <w:uiPriority w:val="39"/>
    <w:unhideWhenUsed/>
    <w:qFormat/>
    <w:rsid w:val="00D86E80"/>
    <w:pPr>
      <w:tabs>
        <w:tab w:val="right" w:leader="dot" w:pos="9072"/>
      </w:tabs>
      <w:spacing w:after="120" w:line="280" w:lineRule="exact"/>
      <w:ind w:left="567"/>
    </w:pPr>
    <w:rPr>
      <w:noProof/>
      <w:color w:val="auto"/>
    </w:rPr>
  </w:style>
  <w:style w:type="paragraph" w:styleId="TOC1">
    <w:name w:val="toc 1"/>
    <w:basedOn w:val="Normal"/>
    <w:next w:val="Normal"/>
    <w:uiPriority w:val="39"/>
    <w:unhideWhenUsed/>
    <w:qFormat/>
    <w:rsid w:val="00D86E80"/>
    <w:pPr>
      <w:tabs>
        <w:tab w:val="right" w:leader="dot" w:pos="9072"/>
      </w:tabs>
      <w:spacing w:after="120"/>
    </w:pPr>
  </w:style>
  <w:style w:type="paragraph" w:styleId="Footer">
    <w:name w:val="footer"/>
    <w:basedOn w:val="Normal"/>
    <w:link w:val="FooterChar"/>
    <w:uiPriority w:val="99"/>
    <w:unhideWhenUsed/>
    <w:rsid w:val="00661CBA"/>
    <w:pPr>
      <w:tabs>
        <w:tab w:val="center" w:pos="4513"/>
        <w:tab w:val="right" w:pos="9026"/>
      </w:tabs>
    </w:pPr>
    <w:rPr>
      <w:rFonts w:ascii="Arial" w:hAnsi="Arial"/>
      <w:sz w:val="20"/>
      <w:szCs w:val="20"/>
    </w:rPr>
  </w:style>
  <w:style w:type="paragraph" w:customStyle="1" w:styleId="TitleofReport">
    <w:name w:val="Title of Report"/>
    <w:rsid w:val="00292666"/>
    <w:pPr>
      <w:spacing w:line="360" w:lineRule="exact"/>
      <w:jc w:val="right"/>
    </w:pPr>
    <w:rPr>
      <w:rFonts w:ascii="Calibri" w:hAnsi="Calibri"/>
      <w:b/>
      <w:bCs/>
      <w:sz w:val="48"/>
      <w:szCs w:val="22"/>
      <w:lang w:val="en-US"/>
    </w:rPr>
  </w:style>
  <w:style w:type="paragraph" w:customStyle="1" w:styleId="Titledate">
    <w:name w:val="Title date"/>
    <w:basedOn w:val="Heading2"/>
    <w:rsid w:val="00277327"/>
    <w:pPr>
      <w:spacing w:line="360" w:lineRule="exact"/>
      <w:jc w:val="right"/>
    </w:pPr>
    <w:rPr>
      <w:i/>
      <w:iCs/>
      <w:color w:val="A8DBEC"/>
      <w:szCs w:val="24"/>
    </w:rPr>
  </w:style>
  <w:style w:type="paragraph" w:styleId="DocumentMap">
    <w:name w:val="Document Map"/>
    <w:basedOn w:val="Normal"/>
    <w:semiHidden/>
    <w:rsid w:val="00C63A59"/>
    <w:pPr>
      <w:shd w:val="clear" w:color="auto" w:fill="C6D5EC"/>
    </w:pPr>
    <w:rPr>
      <w:rFonts w:ascii="Lucida Grande" w:hAnsi="Lucida Grande"/>
    </w:rPr>
  </w:style>
  <w:style w:type="character" w:styleId="Hyperlink">
    <w:name w:val="Hyperlink"/>
    <w:uiPriority w:val="99"/>
    <w:rsid w:val="00DE2070"/>
    <w:rPr>
      <w:color w:val="0000FF"/>
      <w:u w:val="single"/>
    </w:rPr>
  </w:style>
  <w:style w:type="paragraph" w:customStyle="1" w:styleId="Style2">
    <w:name w:val="Style2"/>
    <w:basedOn w:val="Normal"/>
    <w:qFormat/>
    <w:rsid w:val="00786EF9"/>
    <w:pPr>
      <w:widowControl/>
      <w:tabs>
        <w:tab w:val="left" w:pos="2892"/>
        <w:tab w:val="left" w:pos="8460"/>
      </w:tabs>
      <w:suppressAutoHyphens w:val="0"/>
      <w:spacing w:line="480" w:lineRule="exact"/>
    </w:pPr>
    <w:rPr>
      <w:rFonts w:eastAsia="Times New Roman" w:cs="Arial"/>
      <w:color w:val="00356B"/>
    </w:rPr>
  </w:style>
  <w:style w:type="paragraph" w:styleId="NoSpacing">
    <w:name w:val="No Spacing"/>
    <w:uiPriority w:val="1"/>
    <w:qFormat/>
    <w:rsid w:val="0088330D"/>
    <w:pPr>
      <w:widowControl w:val="0"/>
      <w:suppressAutoHyphens/>
      <w:ind w:left="1134"/>
    </w:pPr>
    <w:rPr>
      <w:rFonts w:eastAsia="MS Mincho"/>
      <w:color w:val="000000"/>
      <w:sz w:val="22"/>
      <w:szCs w:val="22"/>
      <w:lang w:val="en-US"/>
    </w:rPr>
  </w:style>
  <w:style w:type="paragraph" w:customStyle="1" w:styleId="HighlightText">
    <w:name w:val="Highlight Text"/>
    <w:basedOn w:val="Normal"/>
    <w:next w:val="Normal"/>
    <w:qFormat/>
    <w:rsid w:val="00C4654E"/>
    <w:rPr>
      <w:color w:val="auto"/>
    </w:rPr>
  </w:style>
  <w:style w:type="paragraph" w:customStyle="1" w:styleId="Subtitle">
    <w:name w:val="Sub title"/>
    <w:link w:val="SubtitleChar"/>
    <w:autoRedefine/>
    <w:qFormat/>
    <w:rsid w:val="00292666"/>
    <w:pPr>
      <w:spacing w:before="300" w:after="300" w:line="360" w:lineRule="exact"/>
    </w:pPr>
    <w:rPr>
      <w:rFonts w:ascii="Calibri" w:hAnsi="Calibri"/>
      <w:sz w:val="32"/>
      <w:szCs w:val="22"/>
      <w:lang w:val="en-US"/>
    </w:rPr>
  </w:style>
  <w:style w:type="paragraph" w:customStyle="1" w:styleId="Logo">
    <w:name w:val="Logo"/>
    <w:basedOn w:val="Heading1"/>
    <w:qFormat/>
    <w:rsid w:val="00454C80"/>
    <w:pPr>
      <w:jc w:val="center"/>
    </w:pPr>
    <w:rPr>
      <w:sz w:val="20"/>
    </w:rPr>
  </w:style>
  <w:style w:type="character" w:customStyle="1" w:styleId="Heading1Char">
    <w:name w:val="Heading 1 Char"/>
    <w:link w:val="Heading1"/>
    <w:rsid w:val="00F14F3B"/>
    <w:rPr>
      <w:rFonts w:ascii="Calibri" w:eastAsia="MS Mincho" w:hAnsi="Calibri"/>
      <w:b/>
      <w:color w:val="007D57"/>
      <w:sz w:val="44"/>
      <w:szCs w:val="22"/>
    </w:rPr>
  </w:style>
  <w:style w:type="paragraph" w:customStyle="1" w:styleId="Style3">
    <w:name w:val="Style3"/>
    <w:basedOn w:val="Heading1"/>
    <w:rsid w:val="000C605F"/>
    <w:pPr>
      <w:jc w:val="center"/>
    </w:pPr>
    <w:rPr>
      <w:sz w:val="20"/>
    </w:rPr>
  </w:style>
  <w:style w:type="paragraph" w:customStyle="1" w:styleId="Footertext">
    <w:name w:val="Footer text"/>
    <w:basedOn w:val="Footerinfo"/>
    <w:qFormat/>
    <w:rsid w:val="003A6761"/>
    <w:pPr>
      <w:ind w:right="-137"/>
    </w:pPr>
  </w:style>
  <w:style w:type="table" w:styleId="TableGrid">
    <w:name w:val="Table Grid"/>
    <w:basedOn w:val="TableNormal"/>
    <w:rsid w:val="00480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0"/>
    <w:rsid w:val="00472BF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BalloonText">
    <w:name w:val="Balloon Text"/>
    <w:basedOn w:val="Normal"/>
    <w:link w:val="BalloonTextChar"/>
    <w:uiPriority w:val="99"/>
    <w:semiHidden/>
    <w:unhideWhenUsed/>
    <w:rsid w:val="007A769A"/>
    <w:rPr>
      <w:rFonts w:ascii="Tahoma" w:hAnsi="Tahoma"/>
      <w:sz w:val="16"/>
      <w:szCs w:val="16"/>
    </w:rPr>
  </w:style>
  <w:style w:type="character" w:customStyle="1" w:styleId="BalloonTextChar">
    <w:name w:val="Balloon Text Char"/>
    <w:link w:val="BalloonText"/>
    <w:uiPriority w:val="99"/>
    <w:semiHidden/>
    <w:rsid w:val="007A769A"/>
    <w:rPr>
      <w:rFonts w:ascii="Tahoma" w:eastAsia="MS Mincho" w:hAnsi="Tahoma" w:cs="Tahoma"/>
      <w:color w:val="000000"/>
      <w:sz w:val="16"/>
      <w:szCs w:val="16"/>
      <w:lang w:eastAsia="en-US"/>
    </w:rPr>
  </w:style>
  <w:style w:type="paragraph" w:customStyle="1" w:styleId="Orange">
    <w:name w:val="Orange"/>
    <w:basedOn w:val="Bulletlist"/>
    <w:qFormat/>
    <w:rsid w:val="00200A63"/>
    <w:pPr>
      <w:numPr>
        <w:numId w:val="0"/>
      </w:numPr>
    </w:pPr>
    <w:rPr>
      <w:color w:val="F79646"/>
    </w:rPr>
  </w:style>
  <w:style w:type="paragraph" w:customStyle="1" w:styleId="ReportFooter">
    <w:name w:val="Report Footer"/>
    <w:basedOn w:val="Normal"/>
    <w:qFormat/>
    <w:rsid w:val="00CF6E9B"/>
    <w:pPr>
      <w:tabs>
        <w:tab w:val="center" w:pos="4680"/>
        <w:tab w:val="right" w:pos="9360"/>
      </w:tabs>
    </w:pPr>
    <w:rPr>
      <w:sz w:val="20"/>
    </w:rPr>
  </w:style>
  <w:style w:type="character" w:customStyle="1" w:styleId="FooterChar">
    <w:name w:val="Footer Char"/>
    <w:link w:val="Footer"/>
    <w:uiPriority w:val="99"/>
    <w:rsid w:val="00661CBA"/>
    <w:rPr>
      <w:rFonts w:eastAsia="MS Mincho"/>
      <w:color w:val="000000"/>
      <w:lang w:eastAsia="en-US"/>
    </w:rPr>
  </w:style>
  <w:style w:type="paragraph" w:customStyle="1" w:styleId="Reporttitle">
    <w:name w:val="Report title"/>
    <w:basedOn w:val="Subtitle"/>
    <w:link w:val="ReporttitleChar"/>
    <w:qFormat/>
    <w:rsid w:val="00FB7445"/>
    <w:pPr>
      <w:spacing w:line="240" w:lineRule="auto"/>
    </w:pPr>
    <w:rPr>
      <w:b/>
      <w:color w:val="007D57"/>
      <w:sz w:val="56"/>
    </w:rPr>
  </w:style>
  <w:style w:type="paragraph" w:customStyle="1" w:styleId="MediumList2-Accent21">
    <w:name w:val="Medium List 2 - Accent 21"/>
    <w:hidden/>
    <w:uiPriority w:val="99"/>
    <w:semiHidden/>
    <w:rsid w:val="00EC11DE"/>
    <w:rPr>
      <w:rFonts w:eastAsia="MS Mincho"/>
      <w:color w:val="000000"/>
      <w:sz w:val="22"/>
      <w:szCs w:val="22"/>
    </w:rPr>
  </w:style>
  <w:style w:type="character" w:customStyle="1" w:styleId="SubtitleChar">
    <w:name w:val="Sub title Char"/>
    <w:link w:val="Subtitle"/>
    <w:rsid w:val="00292666"/>
    <w:rPr>
      <w:rFonts w:ascii="Calibri" w:hAnsi="Calibri"/>
      <w:sz w:val="32"/>
      <w:szCs w:val="22"/>
      <w:lang w:val="en-US" w:eastAsia="en-US" w:bidi="ar-SA"/>
    </w:rPr>
  </w:style>
  <w:style w:type="character" w:customStyle="1" w:styleId="ReporttitleChar">
    <w:name w:val="Report title Char"/>
    <w:link w:val="Reporttitle"/>
    <w:rsid w:val="00FB7445"/>
    <w:rPr>
      <w:rFonts w:ascii="Calibri" w:hAnsi="Calibri"/>
      <w:b/>
      <w:color w:val="007D57"/>
      <w:sz w:val="56"/>
      <w:szCs w:val="22"/>
      <w:lang w:val="en-US"/>
    </w:rPr>
  </w:style>
  <w:style w:type="paragraph" w:styleId="TOC3">
    <w:name w:val="toc 3"/>
    <w:basedOn w:val="Normal"/>
    <w:next w:val="Normal"/>
    <w:autoRedefine/>
    <w:uiPriority w:val="39"/>
    <w:semiHidden/>
    <w:unhideWhenUsed/>
    <w:rsid w:val="00D46FF5"/>
    <w:pPr>
      <w:spacing w:after="100"/>
      <w:ind w:left="440"/>
    </w:pPr>
  </w:style>
  <w:style w:type="character" w:styleId="FollowedHyperlink">
    <w:name w:val="FollowedHyperlink"/>
    <w:uiPriority w:val="99"/>
    <w:semiHidden/>
    <w:unhideWhenUsed/>
    <w:rsid w:val="00670944"/>
    <w:rPr>
      <w:color w:val="800080"/>
      <w:u w:val="single"/>
    </w:rPr>
  </w:style>
  <w:style w:type="character" w:styleId="CommentReference">
    <w:name w:val="annotation reference"/>
    <w:uiPriority w:val="99"/>
    <w:semiHidden/>
    <w:unhideWhenUsed/>
    <w:rsid w:val="007E5448"/>
    <w:rPr>
      <w:sz w:val="16"/>
      <w:szCs w:val="16"/>
    </w:rPr>
  </w:style>
  <w:style w:type="paragraph" w:styleId="CommentText">
    <w:name w:val="annotation text"/>
    <w:basedOn w:val="Normal"/>
    <w:link w:val="CommentTextChar"/>
    <w:uiPriority w:val="99"/>
    <w:unhideWhenUsed/>
    <w:rsid w:val="007E5448"/>
    <w:rPr>
      <w:sz w:val="20"/>
      <w:szCs w:val="20"/>
    </w:rPr>
  </w:style>
  <w:style w:type="character" w:customStyle="1" w:styleId="CommentTextChar">
    <w:name w:val="Comment Text Char"/>
    <w:link w:val="CommentText"/>
    <w:uiPriority w:val="99"/>
    <w:rsid w:val="007E5448"/>
    <w:rPr>
      <w:rFonts w:ascii="Calibri" w:eastAsia="MS Mincho" w:hAnsi="Calibri"/>
      <w:color w:val="000000"/>
      <w:lang w:eastAsia="en-US"/>
    </w:rPr>
  </w:style>
  <w:style w:type="paragraph" w:styleId="CommentSubject">
    <w:name w:val="annotation subject"/>
    <w:basedOn w:val="CommentText"/>
    <w:next w:val="CommentText"/>
    <w:link w:val="CommentSubjectChar"/>
    <w:uiPriority w:val="99"/>
    <w:semiHidden/>
    <w:unhideWhenUsed/>
    <w:rsid w:val="007E5448"/>
    <w:rPr>
      <w:b/>
      <w:bCs/>
    </w:rPr>
  </w:style>
  <w:style w:type="character" w:customStyle="1" w:styleId="CommentSubjectChar">
    <w:name w:val="Comment Subject Char"/>
    <w:link w:val="CommentSubject"/>
    <w:uiPriority w:val="99"/>
    <w:semiHidden/>
    <w:rsid w:val="007E5448"/>
    <w:rPr>
      <w:rFonts w:ascii="Calibri" w:eastAsia="MS Mincho" w:hAnsi="Calibri"/>
      <w:b/>
      <w:bCs/>
      <w:color w:val="000000"/>
      <w:lang w:eastAsia="en-US"/>
    </w:rPr>
  </w:style>
  <w:style w:type="paragraph" w:styleId="FootnoteText">
    <w:name w:val="footnote text"/>
    <w:basedOn w:val="Normal"/>
    <w:link w:val="FootnoteTextChar"/>
    <w:uiPriority w:val="99"/>
    <w:unhideWhenUsed/>
    <w:rsid w:val="00DF3EE7"/>
    <w:rPr>
      <w:szCs w:val="24"/>
    </w:rPr>
  </w:style>
  <w:style w:type="character" w:customStyle="1" w:styleId="FootnoteTextChar">
    <w:name w:val="Footnote Text Char"/>
    <w:link w:val="FootnoteText"/>
    <w:uiPriority w:val="99"/>
    <w:rsid w:val="00DF3EE7"/>
    <w:rPr>
      <w:rFonts w:ascii="Calibri" w:eastAsia="MS Mincho" w:hAnsi="Calibri"/>
      <w:color w:val="000000"/>
      <w:sz w:val="24"/>
      <w:szCs w:val="24"/>
    </w:rPr>
  </w:style>
  <w:style w:type="character" w:styleId="FootnoteReference">
    <w:name w:val="footnote reference"/>
    <w:uiPriority w:val="99"/>
    <w:unhideWhenUsed/>
    <w:rsid w:val="00DF3EE7"/>
    <w:rPr>
      <w:vertAlign w:val="superscript"/>
    </w:rPr>
  </w:style>
  <w:style w:type="paragraph" w:styleId="ListParagraph">
    <w:name w:val="List Paragraph"/>
    <w:basedOn w:val="Normal"/>
    <w:uiPriority w:val="34"/>
    <w:qFormat/>
    <w:rsid w:val="001263C2"/>
    <w:pPr>
      <w:ind w:left="720"/>
      <w:contextualSpacing/>
    </w:pPr>
  </w:style>
  <w:style w:type="paragraph" w:styleId="EndnoteText">
    <w:name w:val="endnote text"/>
    <w:basedOn w:val="Normal"/>
    <w:link w:val="EndnoteTextChar"/>
    <w:uiPriority w:val="99"/>
    <w:semiHidden/>
    <w:unhideWhenUsed/>
    <w:rsid w:val="00C87E94"/>
    <w:rPr>
      <w:sz w:val="20"/>
      <w:szCs w:val="20"/>
    </w:rPr>
  </w:style>
  <w:style w:type="character" w:customStyle="1" w:styleId="EndnoteTextChar">
    <w:name w:val="Endnote Text Char"/>
    <w:link w:val="EndnoteText"/>
    <w:uiPriority w:val="99"/>
    <w:semiHidden/>
    <w:rsid w:val="00C87E94"/>
    <w:rPr>
      <w:rFonts w:ascii="Calibri" w:eastAsia="MS Mincho" w:hAnsi="Calibri"/>
      <w:color w:val="000000"/>
      <w:lang w:eastAsia="en-US"/>
    </w:rPr>
  </w:style>
  <w:style w:type="character" w:styleId="EndnoteReference">
    <w:name w:val="endnote reference"/>
    <w:uiPriority w:val="99"/>
    <w:semiHidden/>
    <w:unhideWhenUsed/>
    <w:rsid w:val="00C87E94"/>
    <w:rPr>
      <w:vertAlign w:val="superscript"/>
    </w:rPr>
  </w:style>
  <w:style w:type="character" w:customStyle="1" w:styleId="Heading2Char">
    <w:name w:val="Heading 2 Char"/>
    <w:link w:val="Heading2"/>
    <w:uiPriority w:val="9"/>
    <w:rsid w:val="00F14F3B"/>
    <w:rPr>
      <w:rFonts w:ascii="Calibri" w:eastAsia="MS Mincho" w:hAnsi="Calibri"/>
      <w:b/>
      <w:sz w:val="32"/>
      <w:szCs w:val="22"/>
    </w:rPr>
  </w:style>
  <w:style w:type="paragraph" w:customStyle="1" w:styleId="Default">
    <w:name w:val="Default"/>
    <w:rsid w:val="007102F1"/>
    <w:pPr>
      <w:autoSpaceDE w:val="0"/>
      <w:autoSpaceDN w:val="0"/>
      <w:adjustRightInd w:val="0"/>
    </w:pPr>
    <w:rPr>
      <w:rFonts w:ascii="Franklin Gothic Book" w:eastAsia="Calibri" w:hAnsi="Franklin Gothic Book" w:cs="Franklin Gothic Book"/>
      <w:color w:val="000000"/>
      <w:sz w:val="24"/>
      <w:szCs w:val="24"/>
    </w:rPr>
  </w:style>
  <w:style w:type="paragraph" w:styleId="Subtitle0">
    <w:name w:val="Subtitle"/>
    <w:basedOn w:val="Normal"/>
    <w:next w:val="Normal"/>
    <w:link w:val="SubtitleChar0"/>
    <w:uiPriority w:val="11"/>
    <w:qFormat/>
    <w:rsid w:val="007102F1"/>
    <w:pPr>
      <w:widowControl/>
      <w:numPr>
        <w:ilvl w:val="1"/>
      </w:numPr>
      <w:suppressAutoHyphens w:val="0"/>
    </w:pPr>
    <w:rPr>
      <w:rFonts w:ascii="Cambria" w:eastAsia="Times New Roman" w:hAnsi="Cambria"/>
      <w:i/>
      <w:iCs/>
      <w:color w:val="4F81BD"/>
      <w:spacing w:val="15"/>
      <w:szCs w:val="24"/>
      <w:lang w:val="en-US"/>
    </w:rPr>
  </w:style>
  <w:style w:type="character" w:customStyle="1" w:styleId="SubtitleChar0">
    <w:name w:val="Subtitle Char"/>
    <w:link w:val="Subtitle0"/>
    <w:uiPriority w:val="11"/>
    <w:rsid w:val="007102F1"/>
    <w:rPr>
      <w:rFonts w:ascii="Cambria" w:eastAsia="Times New Roman" w:hAnsi="Cambria" w:cs="Times New Roman"/>
      <w:i/>
      <w:iCs/>
      <w:color w:val="4F81BD"/>
      <w:spacing w:val="15"/>
      <w:sz w:val="24"/>
      <w:szCs w:val="24"/>
      <w:lang w:val="en-US" w:eastAsia="en-US"/>
    </w:rPr>
  </w:style>
  <w:style w:type="character" w:styleId="IntenseEmphasis">
    <w:name w:val="Intense Emphasis"/>
    <w:uiPriority w:val="21"/>
    <w:qFormat/>
    <w:rsid w:val="007102F1"/>
    <w:rPr>
      <w:b/>
      <w:bCs/>
      <w:i/>
      <w:iCs/>
      <w:color w:val="4F81BD"/>
    </w:rPr>
  </w:style>
  <w:style w:type="table" w:styleId="MediumList2-Accent6">
    <w:name w:val="Medium List 2 Accent 6"/>
    <w:basedOn w:val="TableNormal"/>
    <w:uiPriority w:val="66"/>
    <w:rsid w:val="007102F1"/>
    <w:rPr>
      <w:rFonts w:ascii="Cambria" w:hAnsi="Cambria"/>
      <w:color w:val="000000"/>
      <w:sz w:val="24"/>
      <w:szCs w:val="24"/>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Grid-Accent6">
    <w:name w:val="Colorful Grid Accent 6"/>
    <w:basedOn w:val="TableNormal"/>
    <w:uiPriority w:val="73"/>
    <w:rsid w:val="007102F1"/>
    <w:rPr>
      <w:rFonts w:ascii="Calibri" w:hAnsi="Calibri"/>
      <w:color w:val="000000"/>
      <w:sz w:val="24"/>
      <w:szCs w:val="24"/>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Grid-Accent5">
    <w:name w:val="Colorful Grid Accent 5"/>
    <w:basedOn w:val="TableNormal"/>
    <w:uiPriority w:val="73"/>
    <w:rsid w:val="007102F1"/>
    <w:rPr>
      <w:rFonts w:ascii="Calibri" w:hAnsi="Calibri"/>
      <w:color w:val="000000"/>
      <w:sz w:val="24"/>
      <w:szCs w:val="24"/>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4">
    <w:name w:val="Colorful Grid Accent 4"/>
    <w:basedOn w:val="TableNormal"/>
    <w:uiPriority w:val="73"/>
    <w:rsid w:val="007102F1"/>
    <w:rPr>
      <w:rFonts w:ascii="Calibri" w:hAnsi="Calibri"/>
      <w:color w:val="000000"/>
      <w:sz w:val="24"/>
      <w:szCs w:val="24"/>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1">
    <w:name w:val="Colorful Grid1"/>
    <w:basedOn w:val="TableNormal"/>
    <w:uiPriority w:val="73"/>
    <w:rsid w:val="007102F1"/>
    <w:rPr>
      <w:rFonts w:ascii="Calibri" w:hAnsi="Calibri"/>
      <w:color w:val="000000"/>
      <w:sz w:val="24"/>
      <w:szCs w:val="24"/>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Accent6">
    <w:name w:val="Colorful List Accent 6"/>
    <w:basedOn w:val="TableNormal"/>
    <w:uiPriority w:val="72"/>
    <w:rsid w:val="007102F1"/>
    <w:rPr>
      <w:rFonts w:ascii="Calibri" w:hAnsi="Calibri"/>
      <w:color w:val="000000"/>
      <w:sz w:val="24"/>
      <w:szCs w:val="24"/>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Accent5">
    <w:name w:val="Colorful List Accent 5"/>
    <w:basedOn w:val="TableNormal"/>
    <w:uiPriority w:val="72"/>
    <w:rsid w:val="007102F1"/>
    <w:rPr>
      <w:rFonts w:ascii="Calibri" w:hAnsi="Calibri"/>
      <w:color w:val="000000"/>
      <w:sz w:val="24"/>
      <w:szCs w:val="24"/>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3">
    <w:name w:val="Colorful List Accent 3"/>
    <w:basedOn w:val="TableNormal"/>
    <w:uiPriority w:val="72"/>
    <w:rsid w:val="007102F1"/>
    <w:rPr>
      <w:rFonts w:ascii="Calibri" w:hAnsi="Calibri"/>
      <w:color w:val="000000"/>
      <w:sz w:val="24"/>
      <w:szCs w:val="24"/>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102F1"/>
    <w:rPr>
      <w:rFonts w:ascii="Calibri" w:hAnsi="Calibri"/>
      <w:color w:val="000000"/>
      <w:sz w:val="24"/>
      <w:szCs w:val="24"/>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List2-Accent5">
    <w:name w:val="Medium List 2 Accent 5"/>
    <w:basedOn w:val="TableNormal"/>
    <w:uiPriority w:val="66"/>
    <w:rsid w:val="007102F1"/>
    <w:rPr>
      <w:rFonts w:ascii="Cambria" w:hAnsi="Cambria"/>
      <w:color w:val="000000"/>
      <w:sz w:val="24"/>
      <w:szCs w:val="24"/>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7102F1"/>
    <w:rPr>
      <w:rFonts w:ascii="Calibri" w:hAnsi="Calibri"/>
      <w:color w:val="000000"/>
      <w:sz w:val="24"/>
      <w:szCs w:val="24"/>
      <w:lang w:val="en-US"/>
    </w:rPr>
    <w:tblPr>
      <w:tblStyleRowBandSize w:val="1"/>
      <w:tblStyleColBandSize w:val="1"/>
      <w:tblBorders>
        <w:top w:val="single" w:sz="8" w:space="0" w:color="4BACC6"/>
        <w:bottom w:val="single" w:sz="8" w:space="0" w:color="4BACC6"/>
      </w:tblBorders>
    </w:tblPr>
    <w:tblStylePr w:type="firstRow">
      <w:rPr>
        <w:rFonts w:ascii="Cambria Math" w:eastAsia="Times New Roman" w:hAnsi="Cambria Math"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PlainText">
    <w:name w:val="Plain Text"/>
    <w:basedOn w:val="Normal"/>
    <w:link w:val="PlainTextChar"/>
    <w:uiPriority w:val="99"/>
    <w:semiHidden/>
    <w:unhideWhenUsed/>
    <w:rsid w:val="007102F1"/>
    <w:pPr>
      <w:widowControl/>
      <w:suppressAutoHyphens w:val="0"/>
    </w:pPr>
    <w:rPr>
      <w:rFonts w:eastAsia="Calibri"/>
      <w:color w:val="auto"/>
      <w:sz w:val="22"/>
      <w:szCs w:val="21"/>
    </w:rPr>
  </w:style>
  <w:style w:type="character" w:customStyle="1" w:styleId="PlainTextChar">
    <w:name w:val="Plain Text Char"/>
    <w:link w:val="PlainText"/>
    <w:uiPriority w:val="99"/>
    <w:semiHidden/>
    <w:rsid w:val="007102F1"/>
    <w:rPr>
      <w:rFonts w:ascii="Calibri" w:eastAsia="Calibri" w:hAnsi="Calibri" w:cs="Times New Roman"/>
      <w:sz w:val="22"/>
      <w:szCs w:val="21"/>
      <w:lang w:eastAsia="en-US"/>
    </w:rPr>
  </w:style>
  <w:style w:type="paragraph" w:customStyle="1" w:styleId="ParagraphText">
    <w:name w:val="Paragraph Text"/>
    <w:aliases w:val="pt"/>
    <w:basedOn w:val="Normal"/>
    <w:rsid w:val="007102F1"/>
    <w:pPr>
      <w:widowControl/>
      <w:suppressAutoHyphens w:val="0"/>
      <w:adjustRightInd w:val="0"/>
      <w:spacing w:after="180" w:line="260" w:lineRule="atLeast"/>
      <w:textAlignment w:val="baseline"/>
    </w:pPr>
    <w:rPr>
      <w:rFonts w:ascii="Times New Roman" w:eastAsia="Times New Roman" w:hAnsi="Times New Roman"/>
      <w:color w:val="auto"/>
      <w:kern w:val="16"/>
      <w:sz w:val="22"/>
      <w:lang w:val="en-GB"/>
    </w:rPr>
  </w:style>
  <w:style w:type="character" w:styleId="Emphasis">
    <w:name w:val="Emphasis"/>
    <w:basedOn w:val="DefaultParagraphFont"/>
    <w:uiPriority w:val="20"/>
    <w:qFormat/>
    <w:rsid w:val="002B68AF"/>
    <w:rPr>
      <w:i/>
      <w:iCs/>
    </w:rPr>
  </w:style>
  <w:style w:type="paragraph" w:customStyle="1" w:styleId="StyleOutlinenumberedLeft063cmHanging063cm">
    <w:name w:val="Style Outline numbered Left:  0.63 cm Hanging:  0.63 cm"/>
    <w:basedOn w:val="Normal"/>
    <w:rsid w:val="00F15B9A"/>
    <w:pPr>
      <w:widowControl/>
      <w:numPr>
        <w:numId w:val="36"/>
      </w:numPr>
      <w:suppressAutoHyphens w:val="0"/>
      <w:ind w:left="357" w:hanging="357"/>
      <w:contextualSpacing/>
    </w:pPr>
    <w:rPr>
      <w:rFonts w:eastAsia="Times New Roman"/>
      <w:b/>
      <w:color w:val="auto"/>
      <w:sz w:val="22"/>
      <w:szCs w:val="20"/>
    </w:rPr>
  </w:style>
  <w:style w:type="paragraph" w:customStyle="1" w:styleId="StyleOutlinenumberedLeft127cmHanging063cm">
    <w:name w:val="Style Outline numbered Left:  1.27 cm Hanging:  0.63 cm"/>
    <w:basedOn w:val="Normal"/>
    <w:rsid w:val="00F15B9A"/>
    <w:pPr>
      <w:widowControl/>
      <w:numPr>
        <w:ilvl w:val="1"/>
        <w:numId w:val="36"/>
      </w:numPr>
      <w:suppressAutoHyphens w:val="0"/>
      <w:ind w:left="357" w:hanging="357"/>
      <w:contextualSpacing/>
    </w:pPr>
    <w:rPr>
      <w:rFonts w:eastAsia="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776997">
      <w:bodyDiv w:val="1"/>
      <w:marLeft w:val="0"/>
      <w:marRight w:val="0"/>
      <w:marTop w:val="0"/>
      <w:marBottom w:val="0"/>
      <w:divBdr>
        <w:top w:val="none" w:sz="0" w:space="0" w:color="auto"/>
        <w:left w:val="none" w:sz="0" w:space="0" w:color="auto"/>
        <w:bottom w:val="none" w:sz="0" w:space="0" w:color="auto"/>
        <w:right w:val="none" w:sz="0" w:space="0" w:color="auto"/>
      </w:divBdr>
      <w:divsChild>
        <w:div w:id="707922555">
          <w:marLeft w:val="0"/>
          <w:marRight w:val="0"/>
          <w:marTop w:val="0"/>
          <w:marBottom w:val="0"/>
          <w:divBdr>
            <w:top w:val="none" w:sz="0" w:space="0" w:color="auto"/>
            <w:left w:val="none" w:sz="0" w:space="0" w:color="auto"/>
            <w:bottom w:val="none" w:sz="0" w:space="0" w:color="auto"/>
            <w:right w:val="none" w:sz="0" w:space="0" w:color="auto"/>
          </w:divBdr>
          <w:divsChild>
            <w:div w:id="194971006">
              <w:marLeft w:val="0"/>
              <w:marRight w:val="0"/>
              <w:marTop w:val="0"/>
              <w:marBottom w:val="0"/>
              <w:divBdr>
                <w:top w:val="none" w:sz="0" w:space="0" w:color="auto"/>
                <w:left w:val="none" w:sz="0" w:space="0" w:color="auto"/>
                <w:bottom w:val="none" w:sz="0" w:space="0" w:color="auto"/>
                <w:right w:val="none" w:sz="0" w:space="0" w:color="auto"/>
              </w:divBdr>
              <w:divsChild>
                <w:div w:id="366680086">
                  <w:marLeft w:val="0"/>
                  <w:marRight w:val="0"/>
                  <w:marTop w:val="0"/>
                  <w:marBottom w:val="0"/>
                  <w:divBdr>
                    <w:top w:val="none" w:sz="0" w:space="0" w:color="auto"/>
                    <w:left w:val="none" w:sz="0" w:space="0" w:color="auto"/>
                    <w:bottom w:val="none" w:sz="0" w:space="0" w:color="auto"/>
                    <w:right w:val="none" w:sz="0" w:space="0" w:color="auto"/>
                  </w:divBdr>
                  <w:divsChild>
                    <w:div w:id="13433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5173">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480"/>
      <w:divBdr>
        <w:top w:val="none" w:sz="0" w:space="0" w:color="auto"/>
        <w:left w:val="none" w:sz="0" w:space="0" w:color="auto"/>
        <w:bottom w:val="none" w:sz="0" w:space="0" w:color="auto"/>
        <w:right w:val="none" w:sz="0" w:space="0" w:color="auto"/>
      </w:divBdr>
      <w:divsChild>
        <w:div w:id="1160388548">
          <w:marLeft w:val="0"/>
          <w:marRight w:val="0"/>
          <w:marTop w:val="0"/>
          <w:marBottom w:val="0"/>
          <w:divBdr>
            <w:top w:val="none" w:sz="0" w:space="0" w:color="auto"/>
            <w:left w:val="none" w:sz="0" w:space="0" w:color="auto"/>
            <w:bottom w:val="none" w:sz="0" w:space="0" w:color="auto"/>
            <w:right w:val="none" w:sz="0" w:space="0" w:color="auto"/>
          </w:divBdr>
          <w:divsChild>
            <w:div w:id="822744274">
              <w:marLeft w:val="0"/>
              <w:marRight w:val="0"/>
              <w:marTop w:val="0"/>
              <w:marBottom w:val="0"/>
              <w:divBdr>
                <w:top w:val="none" w:sz="0" w:space="0" w:color="auto"/>
                <w:left w:val="none" w:sz="0" w:space="0" w:color="auto"/>
                <w:bottom w:val="none" w:sz="0" w:space="0" w:color="auto"/>
                <w:right w:val="none" w:sz="0" w:space="0" w:color="auto"/>
              </w:divBdr>
              <w:divsChild>
                <w:div w:id="132406987">
                  <w:marLeft w:val="0"/>
                  <w:marRight w:val="0"/>
                  <w:marTop w:val="0"/>
                  <w:marBottom w:val="0"/>
                  <w:divBdr>
                    <w:top w:val="none" w:sz="0" w:space="0" w:color="auto"/>
                    <w:left w:val="none" w:sz="0" w:space="0" w:color="auto"/>
                    <w:bottom w:val="none" w:sz="0" w:space="0" w:color="auto"/>
                    <w:right w:val="none" w:sz="0" w:space="0" w:color="auto"/>
                  </w:divBdr>
                  <w:divsChild>
                    <w:div w:id="128135819">
                      <w:marLeft w:val="0"/>
                      <w:marRight w:val="0"/>
                      <w:marTop w:val="0"/>
                      <w:marBottom w:val="0"/>
                      <w:divBdr>
                        <w:top w:val="none" w:sz="0" w:space="0" w:color="auto"/>
                        <w:left w:val="none" w:sz="0" w:space="0" w:color="auto"/>
                        <w:bottom w:val="none" w:sz="0" w:space="0" w:color="auto"/>
                        <w:right w:val="none" w:sz="0" w:space="0" w:color="auto"/>
                      </w:divBdr>
                      <w:divsChild>
                        <w:div w:id="1790738061">
                          <w:marLeft w:val="0"/>
                          <w:marRight w:val="0"/>
                          <w:marTop w:val="0"/>
                          <w:marBottom w:val="0"/>
                          <w:divBdr>
                            <w:top w:val="none" w:sz="0" w:space="0" w:color="auto"/>
                            <w:left w:val="none" w:sz="0" w:space="0" w:color="auto"/>
                            <w:bottom w:val="none" w:sz="0" w:space="0" w:color="auto"/>
                            <w:right w:val="none" w:sz="0" w:space="0" w:color="auto"/>
                          </w:divBdr>
                          <w:divsChild>
                            <w:div w:id="1782604910">
                              <w:marLeft w:val="0"/>
                              <w:marRight w:val="0"/>
                              <w:marTop w:val="0"/>
                              <w:marBottom w:val="0"/>
                              <w:divBdr>
                                <w:top w:val="none" w:sz="0" w:space="0" w:color="auto"/>
                                <w:left w:val="none" w:sz="0" w:space="0" w:color="auto"/>
                                <w:bottom w:val="none" w:sz="0" w:space="0" w:color="auto"/>
                                <w:right w:val="none" w:sz="0" w:space="0" w:color="auto"/>
                              </w:divBdr>
                              <w:divsChild>
                                <w:div w:id="1598055821">
                                  <w:marLeft w:val="0"/>
                                  <w:marRight w:val="0"/>
                                  <w:marTop w:val="0"/>
                                  <w:marBottom w:val="0"/>
                                  <w:divBdr>
                                    <w:top w:val="none" w:sz="0" w:space="0" w:color="auto"/>
                                    <w:left w:val="none" w:sz="0" w:space="0" w:color="auto"/>
                                    <w:bottom w:val="none" w:sz="0" w:space="0" w:color="auto"/>
                                    <w:right w:val="none" w:sz="0" w:space="0" w:color="auto"/>
                                  </w:divBdr>
                                  <w:divsChild>
                                    <w:div w:id="1384059070">
                                      <w:marLeft w:val="0"/>
                                      <w:marRight w:val="0"/>
                                      <w:marTop w:val="0"/>
                                      <w:marBottom w:val="0"/>
                                      <w:divBdr>
                                        <w:top w:val="none" w:sz="0" w:space="0" w:color="auto"/>
                                        <w:left w:val="none" w:sz="0" w:space="0" w:color="auto"/>
                                        <w:bottom w:val="none" w:sz="0" w:space="0" w:color="auto"/>
                                        <w:right w:val="none" w:sz="0" w:space="0" w:color="auto"/>
                                      </w:divBdr>
                                      <w:divsChild>
                                        <w:div w:id="209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357031">
      <w:bodyDiv w:val="1"/>
      <w:marLeft w:val="0"/>
      <w:marRight w:val="0"/>
      <w:marTop w:val="0"/>
      <w:marBottom w:val="0"/>
      <w:divBdr>
        <w:top w:val="none" w:sz="0" w:space="0" w:color="auto"/>
        <w:left w:val="none" w:sz="0" w:space="0" w:color="auto"/>
        <w:bottom w:val="none" w:sz="0" w:space="0" w:color="auto"/>
        <w:right w:val="none" w:sz="0" w:space="0" w:color="auto"/>
      </w:divBdr>
    </w:div>
    <w:div w:id="1122656195">
      <w:bodyDiv w:val="1"/>
      <w:marLeft w:val="0"/>
      <w:marRight w:val="0"/>
      <w:marTop w:val="0"/>
      <w:marBottom w:val="0"/>
      <w:divBdr>
        <w:top w:val="none" w:sz="0" w:space="0" w:color="auto"/>
        <w:left w:val="none" w:sz="0" w:space="0" w:color="auto"/>
        <w:bottom w:val="none" w:sz="0" w:space="0" w:color="auto"/>
        <w:right w:val="none" w:sz="0" w:space="0" w:color="auto"/>
      </w:divBdr>
    </w:div>
    <w:div w:id="1552156247">
      <w:bodyDiv w:val="1"/>
      <w:marLeft w:val="0"/>
      <w:marRight w:val="0"/>
      <w:marTop w:val="0"/>
      <w:marBottom w:val="0"/>
      <w:divBdr>
        <w:top w:val="none" w:sz="0" w:space="0" w:color="auto"/>
        <w:left w:val="none" w:sz="0" w:space="0" w:color="auto"/>
        <w:bottom w:val="none" w:sz="0" w:space="0" w:color="auto"/>
        <w:right w:val="none" w:sz="0" w:space="0" w:color="auto"/>
      </w:divBdr>
      <w:divsChild>
        <w:div w:id="1694454929">
          <w:marLeft w:val="0"/>
          <w:marRight w:val="0"/>
          <w:marTop w:val="0"/>
          <w:marBottom w:val="0"/>
          <w:divBdr>
            <w:top w:val="none" w:sz="0" w:space="0" w:color="auto"/>
            <w:left w:val="none" w:sz="0" w:space="0" w:color="auto"/>
            <w:bottom w:val="none" w:sz="0" w:space="0" w:color="auto"/>
            <w:right w:val="none" w:sz="0" w:space="0" w:color="auto"/>
          </w:divBdr>
          <w:divsChild>
            <w:div w:id="763187435">
              <w:marLeft w:val="0"/>
              <w:marRight w:val="0"/>
              <w:marTop w:val="0"/>
              <w:marBottom w:val="0"/>
              <w:divBdr>
                <w:top w:val="none" w:sz="0" w:space="0" w:color="auto"/>
                <w:left w:val="none" w:sz="0" w:space="0" w:color="auto"/>
                <w:bottom w:val="none" w:sz="0" w:space="0" w:color="auto"/>
                <w:right w:val="none" w:sz="0" w:space="0" w:color="auto"/>
              </w:divBdr>
              <w:divsChild>
                <w:div w:id="1833830281">
                  <w:marLeft w:val="480"/>
                  <w:marRight w:val="480"/>
                  <w:marTop w:val="120"/>
                  <w:marBottom w:val="120"/>
                  <w:divBdr>
                    <w:top w:val="none" w:sz="0" w:space="0" w:color="auto"/>
                    <w:left w:val="none" w:sz="0" w:space="0" w:color="auto"/>
                    <w:bottom w:val="none" w:sz="0" w:space="0" w:color="auto"/>
                    <w:right w:val="none" w:sz="0" w:space="0" w:color="auto"/>
                  </w:divBdr>
                  <w:divsChild>
                    <w:div w:id="502090780">
                      <w:marLeft w:val="2805"/>
                      <w:marRight w:val="0"/>
                      <w:marTop w:val="0"/>
                      <w:marBottom w:val="0"/>
                      <w:divBdr>
                        <w:top w:val="none" w:sz="0" w:space="0" w:color="auto"/>
                        <w:left w:val="none" w:sz="0" w:space="0" w:color="auto"/>
                        <w:bottom w:val="none" w:sz="0" w:space="0" w:color="auto"/>
                        <w:right w:val="none" w:sz="0" w:space="0" w:color="auto"/>
                      </w:divBdr>
                      <w:divsChild>
                        <w:div w:id="1521972683">
                          <w:marLeft w:val="0"/>
                          <w:marRight w:val="3135"/>
                          <w:marTop w:val="0"/>
                          <w:marBottom w:val="0"/>
                          <w:divBdr>
                            <w:top w:val="none" w:sz="0" w:space="0" w:color="auto"/>
                            <w:left w:val="none" w:sz="0" w:space="0" w:color="auto"/>
                            <w:bottom w:val="none" w:sz="0" w:space="0" w:color="auto"/>
                            <w:right w:val="none" w:sz="0" w:space="0" w:color="auto"/>
                          </w:divBdr>
                          <w:divsChild>
                            <w:div w:id="1105735292">
                              <w:marLeft w:val="0"/>
                              <w:marRight w:val="0"/>
                              <w:marTop w:val="0"/>
                              <w:marBottom w:val="0"/>
                              <w:divBdr>
                                <w:top w:val="none" w:sz="0" w:space="0" w:color="auto"/>
                                <w:left w:val="none" w:sz="0" w:space="0" w:color="auto"/>
                                <w:bottom w:val="none" w:sz="0" w:space="0" w:color="auto"/>
                                <w:right w:val="none" w:sz="0" w:space="0" w:color="auto"/>
                              </w:divBdr>
                              <w:divsChild>
                                <w:div w:id="129059860">
                                  <w:marLeft w:val="0"/>
                                  <w:marRight w:val="0"/>
                                  <w:marTop w:val="0"/>
                                  <w:marBottom w:val="0"/>
                                  <w:divBdr>
                                    <w:top w:val="none" w:sz="0" w:space="0" w:color="auto"/>
                                    <w:left w:val="none" w:sz="0" w:space="0" w:color="auto"/>
                                    <w:bottom w:val="none" w:sz="0" w:space="0" w:color="auto"/>
                                    <w:right w:val="none" w:sz="0" w:space="0" w:color="auto"/>
                                  </w:divBdr>
                                  <w:divsChild>
                                    <w:div w:id="1217082462">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4.0/legalcode"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jeaa.org.au/" TargetMode="Externa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matthew.ricketson@canberra.edu.au"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earningandteaching@education.gov.au" TargetMode="External"/><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A242F-A12A-4717-8EA7-36EEA563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9379E5DA.dotm</Template>
  <TotalTime>2</TotalTime>
  <Pages>22</Pages>
  <Words>6652</Words>
  <Characters>37923</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Report Contents</vt:lpstr>
    </vt:vector>
  </TitlesOfParts>
  <Company>Australian Government</Company>
  <LinksUpToDate>false</LinksUpToDate>
  <CharactersWithSpaces>44487</CharactersWithSpaces>
  <SharedDoc>false</SharedDoc>
  <HLinks>
    <vt:vector size="18" baseType="variant">
      <vt:variant>
        <vt:i4>393260</vt:i4>
      </vt:variant>
      <vt:variant>
        <vt:i4>3</vt:i4>
      </vt:variant>
      <vt:variant>
        <vt:i4>0</vt:i4>
      </vt:variant>
      <vt:variant>
        <vt:i4>5</vt:i4>
      </vt:variant>
      <vt:variant>
        <vt:lpwstr>mailto:matthew.ricketson@canberra.edu.au</vt:lpwstr>
      </vt:variant>
      <vt:variant>
        <vt:lpwstr/>
      </vt:variant>
      <vt:variant>
        <vt:i4>2556004</vt:i4>
      </vt:variant>
      <vt:variant>
        <vt:i4>0</vt:i4>
      </vt:variant>
      <vt:variant>
        <vt:i4>0</vt:i4>
      </vt:variant>
      <vt:variant>
        <vt:i4>5</vt:i4>
      </vt:variant>
      <vt:variant>
        <vt:lpwstr>http://jeaa.org.au/</vt:lpwstr>
      </vt:variant>
      <vt:variant>
        <vt:lpwstr/>
      </vt:variant>
      <vt:variant>
        <vt:i4>2556004</vt:i4>
      </vt:variant>
      <vt:variant>
        <vt:i4>126748</vt:i4>
      </vt:variant>
      <vt:variant>
        <vt:i4>1026</vt:i4>
      </vt:variant>
      <vt:variant>
        <vt:i4>4</vt:i4>
      </vt:variant>
      <vt:variant>
        <vt:lpwstr>http://jeaa.org.au/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Contents</dc:title>
  <dc:creator>Marguerite de Sousa</dc:creator>
  <cp:lastModifiedBy>Yamini Naidu</cp:lastModifiedBy>
  <cp:revision>2</cp:revision>
  <cp:lastPrinted>2015-05-24T23:24:00Z</cp:lastPrinted>
  <dcterms:created xsi:type="dcterms:W3CDTF">2015-07-31T01:25:00Z</dcterms:created>
  <dcterms:modified xsi:type="dcterms:W3CDTF">2015-07-31T01:25:00Z</dcterms:modified>
</cp:coreProperties>
</file>